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BF71F6" w14:textId="77777777" w:rsidR="009E3021" w:rsidRDefault="009E3021" w:rsidP="009E5435">
      <w:pPr>
        <w:tabs>
          <w:tab w:val="left" w:pos="1980"/>
          <w:tab w:val="right" w:pos="8532"/>
        </w:tabs>
        <w:spacing w:after="120" w:line="240" w:lineRule="auto"/>
        <w:jc w:val="center"/>
        <w:rPr>
          <w:rFonts w:ascii="Arial" w:eastAsia="Times New Roman" w:hAnsi="Arial" w:cs="Arial"/>
          <w:b/>
          <w:sz w:val="24"/>
          <w:szCs w:val="24"/>
          <w:lang w:val="en-US" w:eastAsia="es-ES"/>
        </w:rPr>
      </w:pPr>
    </w:p>
    <w:p w14:paraId="68186495" w14:textId="07860D78" w:rsidR="00FF1B1E" w:rsidRPr="00903C50" w:rsidRDefault="00C05630" w:rsidP="009E5435">
      <w:pPr>
        <w:tabs>
          <w:tab w:val="left" w:pos="1980"/>
          <w:tab w:val="right" w:pos="8532"/>
        </w:tabs>
        <w:spacing w:after="120" w:line="240" w:lineRule="auto"/>
        <w:jc w:val="center"/>
        <w:rPr>
          <w:rFonts w:ascii="Segoe UI" w:hAnsi="Segoe UI" w:cs="Segoe UI"/>
          <w:sz w:val="21"/>
          <w:szCs w:val="21"/>
          <w:shd w:val="clear" w:color="auto" w:fill="FFFFFF"/>
          <w:lang w:val="en-US"/>
        </w:rPr>
      </w:pPr>
      <w:r w:rsidRPr="00665A0D">
        <w:rPr>
          <w:rFonts w:ascii="Arial" w:eastAsia="Times New Roman" w:hAnsi="Arial" w:cs="Arial"/>
          <w:b/>
          <w:sz w:val="24"/>
          <w:szCs w:val="24"/>
          <w:lang w:val="en-US" w:eastAsia="es-ES"/>
        </w:rPr>
        <w:t xml:space="preserve">DOI: </w:t>
      </w:r>
      <w:hyperlink r:id="rId8" w:history="1">
        <w:r w:rsidR="009E3021" w:rsidRPr="009E11CF">
          <w:rPr>
            <w:rStyle w:val="Hipervnculo"/>
            <w:rFonts w:ascii="Segoe UI" w:hAnsi="Segoe UI" w:cs="Segoe UI"/>
            <w:sz w:val="21"/>
            <w:szCs w:val="21"/>
            <w:shd w:val="clear" w:color="auto" w:fill="FFFFFF"/>
            <w:lang w:val="en-US"/>
          </w:rPr>
          <w:t>https://doi.org/10.46296/yc.v8i15.0509</w:t>
        </w:r>
      </w:hyperlink>
    </w:p>
    <w:p w14:paraId="4BEBE386" w14:textId="77777777" w:rsidR="007740AD" w:rsidRPr="003147E6" w:rsidRDefault="007740AD" w:rsidP="007740AD">
      <w:pPr>
        <w:jc w:val="center"/>
        <w:rPr>
          <w:rFonts w:ascii="Arial" w:eastAsia="Times New Roman" w:hAnsi="Arial" w:cs="Arial"/>
          <w:b/>
          <w:sz w:val="2"/>
          <w:szCs w:val="2"/>
          <w:lang w:val="en-US" w:eastAsia="es-ES"/>
        </w:rPr>
      </w:pPr>
    </w:p>
    <w:p w14:paraId="03FA3C17" w14:textId="0D4E4609" w:rsidR="00C2405B" w:rsidRPr="00F979D6" w:rsidRDefault="009E3021" w:rsidP="00DA4472">
      <w:pPr>
        <w:spacing w:line="240" w:lineRule="auto"/>
        <w:jc w:val="center"/>
        <w:rPr>
          <w:rFonts w:ascii="Arial" w:eastAsia="Times New Roman" w:hAnsi="Arial" w:cs="Arial"/>
          <w:b/>
          <w:sz w:val="24"/>
          <w:szCs w:val="24"/>
          <w:lang w:eastAsia="es-ES"/>
        </w:rPr>
      </w:pPr>
      <w:bookmarkStart w:id="0" w:name="_Hlk177398131"/>
      <w:r w:rsidRPr="009E3021">
        <w:rPr>
          <w:rFonts w:ascii="Arial" w:eastAsia="Times New Roman" w:hAnsi="Arial" w:cs="Arial"/>
          <w:b/>
          <w:sz w:val="24"/>
          <w:szCs w:val="24"/>
          <w:lang w:eastAsia="es-ES"/>
        </w:rPr>
        <w:t>CONTROL PREVIO AL PAGO EN LA ADMINISTRACIÓN DE RECURSOS EN UNA EMPRESA PÚBLICA</w:t>
      </w:r>
    </w:p>
    <w:bookmarkEnd w:id="0"/>
    <w:p w14:paraId="15542BEE" w14:textId="47C42E6B" w:rsidR="0002052A" w:rsidRPr="000D1E54" w:rsidRDefault="009E3021" w:rsidP="000E79C1">
      <w:pPr>
        <w:spacing w:line="240" w:lineRule="auto"/>
        <w:jc w:val="center"/>
        <w:rPr>
          <w:rFonts w:ascii="Arial" w:eastAsia="Times New Roman" w:hAnsi="Arial" w:cs="Arial"/>
          <w:b/>
          <w:sz w:val="24"/>
          <w:szCs w:val="24"/>
          <w:lang w:val="en-US" w:eastAsia="es-ES"/>
        </w:rPr>
      </w:pPr>
      <w:r w:rsidRPr="009E3021">
        <w:rPr>
          <w:rFonts w:ascii="Arial" w:eastAsia="Times New Roman" w:hAnsi="Arial" w:cs="Arial"/>
          <w:b/>
          <w:sz w:val="24"/>
          <w:szCs w:val="24"/>
          <w:lang w:val="en-US" w:eastAsia="es-ES"/>
        </w:rPr>
        <w:t>CONTROL PRIOR TO PAYMENT IN THE ADMINISTRATION OF RESOURCES IN A PUBLIC COMPANY</w:t>
      </w:r>
    </w:p>
    <w:p w14:paraId="22C07D02" w14:textId="2C4AFB74" w:rsidR="00553AFD" w:rsidRPr="005D5E78" w:rsidRDefault="009E3021" w:rsidP="00553AFD">
      <w:pPr>
        <w:jc w:val="center"/>
        <w:rPr>
          <w:rFonts w:ascii="Arial" w:hAnsi="Arial" w:cs="Arial"/>
          <w:color w:val="000000" w:themeColor="text1"/>
        </w:rPr>
      </w:pPr>
      <w:r w:rsidRPr="009E3021">
        <w:rPr>
          <w:rFonts w:ascii="Arial" w:hAnsi="Arial" w:cs="Arial"/>
          <w:color w:val="000000" w:themeColor="text1"/>
        </w:rPr>
        <w:t>Dueñas</w:t>
      </w:r>
      <w:r>
        <w:rPr>
          <w:rFonts w:ascii="Arial" w:hAnsi="Arial" w:cs="Arial"/>
          <w:color w:val="000000" w:themeColor="text1"/>
        </w:rPr>
        <w:t>-D</w:t>
      </w:r>
      <w:r w:rsidRPr="009E3021">
        <w:rPr>
          <w:rFonts w:ascii="Arial" w:hAnsi="Arial" w:cs="Arial"/>
          <w:color w:val="000000" w:themeColor="text1"/>
        </w:rPr>
        <w:t xml:space="preserve">e la Torre Jesús Agustina </w:t>
      </w:r>
      <w:r w:rsidR="008236F3">
        <w:rPr>
          <w:rFonts w:ascii="Arial" w:hAnsi="Arial" w:cs="Arial"/>
          <w:color w:val="000000" w:themeColor="text1"/>
          <w:vertAlign w:val="superscript"/>
        </w:rPr>
        <w:t>1</w:t>
      </w:r>
      <w:r w:rsidR="008236F3" w:rsidRPr="008236F3">
        <w:rPr>
          <w:rFonts w:ascii="Arial" w:hAnsi="Arial" w:cs="Arial"/>
          <w:color w:val="000000" w:themeColor="text1"/>
        </w:rPr>
        <w:t xml:space="preserve">; </w:t>
      </w:r>
      <w:r w:rsidRPr="009E3021">
        <w:rPr>
          <w:rFonts w:ascii="Arial" w:hAnsi="Arial" w:cs="Arial"/>
          <w:color w:val="000000" w:themeColor="text1"/>
        </w:rPr>
        <w:t>Carreño</w:t>
      </w:r>
      <w:r>
        <w:rPr>
          <w:rFonts w:ascii="Arial" w:hAnsi="Arial" w:cs="Arial"/>
          <w:color w:val="000000" w:themeColor="text1"/>
        </w:rPr>
        <w:t>-</w:t>
      </w:r>
      <w:r w:rsidRPr="009E3021">
        <w:rPr>
          <w:rFonts w:ascii="Arial" w:hAnsi="Arial" w:cs="Arial"/>
          <w:color w:val="000000" w:themeColor="text1"/>
        </w:rPr>
        <w:t xml:space="preserve">Arteaga Nancy Pola </w:t>
      </w:r>
      <w:r w:rsidR="008236F3">
        <w:rPr>
          <w:rFonts w:ascii="Arial" w:hAnsi="Arial" w:cs="Arial"/>
          <w:color w:val="000000" w:themeColor="text1"/>
          <w:vertAlign w:val="superscript"/>
        </w:rPr>
        <w:t>2</w:t>
      </w:r>
    </w:p>
    <w:p w14:paraId="6638A198" w14:textId="7AA21E16" w:rsidR="008236F3" w:rsidRPr="009E3021" w:rsidRDefault="00553AFD" w:rsidP="00D97CE0">
      <w:pPr>
        <w:jc w:val="center"/>
        <w:rPr>
          <w:rFonts w:ascii="Arial" w:hAnsi="Arial" w:cs="Arial"/>
          <w:sz w:val="20"/>
          <w:szCs w:val="20"/>
        </w:rPr>
      </w:pPr>
      <w:r w:rsidRPr="00F530AF">
        <w:rPr>
          <w:rFonts w:ascii="Arial" w:hAnsi="Arial" w:cs="Arial"/>
          <w:sz w:val="20"/>
          <w:szCs w:val="20"/>
          <w:vertAlign w:val="superscript"/>
        </w:rPr>
        <w:t xml:space="preserve">1 </w:t>
      </w:r>
      <w:proofErr w:type="gramStart"/>
      <w:r w:rsidR="009E3021" w:rsidRPr="009E3021">
        <w:rPr>
          <w:rFonts w:ascii="Arial" w:hAnsi="Arial" w:cs="Arial"/>
          <w:sz w:val="20"/>
          <w:szCs w:val="20"/>
        </w:rPr>
        <w:t>Estudiante</w:t>
      </w:r>
      <w:proofErr w:type="gramEnd"/>
      <w:r w:rsidR="009E3021" w:rsidRPr="009E3021">
        <w:rPr>
          <w:rFonts w:ascii="Arial" w:hAnsi="Arial" w:cs="Arial"/>
          <w:sz w:val="20"/>
          <w:szCs w:val="20"/>
        </w:rPr>
        <w:t xml:space="preserve"> del programa de maestría en Contabilidad y Auditoría, Faculta</w:t>
      </w:r>
      <w:r w:rsidR="009E3021">
        <w:rPr>
          <w:rFonts w:ascii="Arial" w:hAnsi="Arial" w:cs="Arial"/>
          <w:sz w:val="20"/>
          <w:szCs w:val="20"/>
        </w:rPr>
        <w:t>d</w:t>
      </w:r>
      <w:r w:rsidR="009E3021" w:rsidRPr="009E3021">
        <w:rPr>
          <w:rFonts w:ascii="Arial" w:hAnsi="Arial" w:cs="Arial"/>
          <w:sz w:val="20"/>
          <w:szCs w:val="20"/>
        </w:rPr>
        <w:t xml:space="preserve"> de Posgrado, Universidad Técnica de Manabí</w:t>
      </w:r>
      <w:r w:rsidR="005D5E78" w:rsidRPr="009E3021">
        <w:rPr>
          <w:rFonts w:ascii="Arial" w:hAnsi="Arial" w:cs="Arial"/>
          <w:sz w:val="20"/>
          <w:szCs w:val="20"/>
        </w:rPr>
        <w:t xml:space="preserve">. </w:t>
      </w:r>
      <w:r w:rsidR="009E3021" w:rsidRPr="009E3021">
        <w:rPr>
          <w:rFonts w:ascii="Arial" w:hAnsi="Arial" w:cs="Arial"/>
          <w:sz w:val="20"/>
          <w:szCs w:val="20"/>
        </w:rPr>
        <w:t>Portoviejo</w:t>
      </w:r>
      <w:r w:rsidR="005D5E78" w:rsidRPr="009E3021">
        <w:rPr>
          <w:rFonts w:ascii="Arial" w:hAnsi="Arial" w:cs="Arial"/>
          <w:sz w:val="20"/>
          <w:szCs w:val="20"/>
        </w:rPr>
        <w:t>, Ecuador</w:t>
      </w:r>
      <w:r w:rsidR="00AD052B" w:rsidRPr="009E3021">
        <w:rPr>
          <w:rFonts w:ascii="Arial" w:hAnsi="Arial" w:cs="Arial"/>
          <w:sz w:val="20"/>
          <w:szCs w:val="20"/>
        </w:rPr>
        <w:t xml:space="preserve">. </w:t>
      </w:r>
      <w:r w:rsidR="007944E5" w:rsidRPr="009E3021">
        <w:rPr>
          <w:rFonts w:ascii="Arial" w:hAnsi="Arial" w:cs="Arial"/>
          <w:sz w:val="20"/>
          <w:szCs w:val="20"/>
        </w:rPr>
        <w:br/>
      </w:r>
      <w:r w:rsidR="00AD052B" w:rsidRPr="009E3021">
        <w:rPr>
          <w:rFonts w:ascii="Arial" w:hAnsi="Arial" w:cs="Arial"/>
          <w:sz w:val="20"/>
          <w:szCs w:val="20"/>
        </w:rPr>
        <w:t>Correo</w:t>
      </w:r>
      <w:r w:rsidR="009E3021" w:rsidRPr="009E3021">
        <w:rPr>
          <w:rFonts w:ascii="Arial" w:hAnsi="Arial" w:cs="Arial"/>
          <w:sz w:val="20"/>
          <w:szCs w:val="20"/>
        </w:rPr>
        <w:t xml:space="preserve">: </w:t>
      </w:r>
      <w:hyperlink r:id="rId9" w:history="1">
        <w:r w:rsidR="009E3021" w:rsidRPr="009E3021">
          <w:rPr>
            <w:rStyle w:val="Hipervnculo"/>
            <w:rFonts w:ascii="Arial" w:hAnsi="Arial" w:cs="Arial"/>
            <w:color w:val="auto"/>
            <w:sz w:val="20"/>
            <w:szCs w:val="20"/>
            <w:u w:val="none"/>
          </w:rPr>
          <w:t>jduenas6692@utm.edu.ec</w:t>
        </w:r>
      </w:hyperlink>
      <w:r w:rsidR="00AD052B" w:rsidRPr="009E3021">
        <w:rPr>
          <w:rFonts w:ascii="Arial" w:hAnsi="Arial" w:cs="Arial"/>
          <w:sz w:val="20"/>
          <w:szCs w:val="20"/>
        </w:rPr>
        <w:t>. ORCID ID</w:t>
      </w:r>
      <w:r w:rsidR="009E3021" w:rsidRPr="009E3021">
        <w:rPr>
          <w:rFonts w:ascii="Arial" w:hAnsi="Arial" w:cs="Arial"/>
          <w:sz w:val="20"/>
          <w:szCs w:val="20"/>
        </w:rPr>
        <w:t xml:space="preserve">: </w:t>
      </w:r>
      <w:hyperlink r:id="rId10" w:history="1">
        <w:r w:rsidR="009E3021" w:rsidRPr="009E3021">
          <w:rPr>
            <w:rStyle w:val="Hipervnculo"/>
            <w:rFonts w:ascii="Arial" w:hAnsi="Arial" w:cs="Arial"/>
            <w:color w:val="auto"/>
            <w:sz w:val="20"/>
            <w:szCs w:val="20"/>
            <w:u w:val="none"/>
          </w:rPr>
          <w:t>https://orcid.org/0009-0008-6788-3465</w:t>
        </w:r>
      </w:hyperlink>
      <w:r w:rsidR="009E3021" w:rsidRPr="009E3021">
        <w:rPr>
          <w:rFonts w:ascii="Arial" w:hAnsi="Arial" w:cs="Arial"/>
          <w:sz w:val="20"/>
          <w:szCs w:val="20"/>
        </w:rPr>
        <w:t xml:space="preserve"> </w:t>
      </w:r>
    </w:p>
    <w:p w14:paraId="40445297" w14:textId="4CC7A405" w:rsidR="005D5E78" w:rsidRPr="009E3021" w:rsidRDefault="008236F3" w:rsidP="009E3021">
      <w:pPr>
        <w:jc w:val="center"/>
        <w:rPr>
          <w:rFonts w:ascii="Arial" w:hAnsi="Arial" w:cs="Arial"/>
          <w:sz w:val="20"/>
          <w:szCs w:val="20"/>
        </w:rPr>
      </w:pPr>
      <w:r w:rsidRPr="009E3021">
        <w:rPr>
          <w:rFonts w:ascii="Arial" w:hAnsi="Arial" w:cs="Arial"/>
          <w:sz w:val="20"/>
          <w:szCs w:val="20"/>
          <w:vertAlign w:val="superscript"/>
        </w:rPr>
        <w:t xml:space="preserve">2 </w:t>
      </w:r>
      <w:proofErr w:type="gramStart"/>
      <w:r w:rsidR="009E3021" w:rsidRPr="009E3021">
        <w:rPr>
          <w:rFonts w:ascii="Arial" w:hAnsi="Arial" w:cs="Arial"/>
          <w:sz w:val="20"/>
          <w:szCs w:val="20"/>
        </w:rPr>
        <w:t>Docente</w:t>
      </w:r>
      <w:proofErr w:type="gramEnd"/>
      <w:r w:rsidR="009E3021" w:rsidRPr="009E3021">
        <w:rPr>
          <w:rFonts w:ascii="Arial" w:hAnsi="Arial" w:cs="Arial"/>
          <w:sz w:val="20"/>
          <w:szCs w:val="20"/>
        </w:rPr>
        <w:t xml:space="preserve"> de la Facultad de Ciencias Administrativas y Económicas, Escuela de Contabilidad y Auditoría, Universidad Técnica de Manabí</w:t>
      </w:r>
      <w:r w:rsidR="005D5E78" w:rsidRPr="009E3021">
        <w:rPr>
          <w:rFonts w:ascii="Arial" w:hAnsi="Arial" w:cs="Arial"/>
          <w:sz w:val="20"/>
          <w:szCs w:val="20"/>
        </w:rPr>
        <w:t xml:space="preserve">. </w:t>
      </w:r>
      <w:r w:rsidR="009E3021" w:rsidRPr="009E3021">
        <w:rPr>
          <w:rFonts w:ascii="Arial" w:hAnsi="Arial" w:cs="Arial"/>
          <w:sz w:val="20"/>
          <w:szCs w:val="20"/>
        </w:rPr>
        <w:t>Portoviejo</w:t>
      </w:r>
      <w:r w:rsidR="009E3021" w:rsidRPr="009E3021">
        <w:rPr>
          <w:rFonts w:ascii="Arial" w:hAnsi="Arial" w:cs="Arial"/>
          <w:sz w:val="20"/>
          <w:szCs w:val="20"/>
        </w:rPr>
        <w:t xml:space="preserve">, </w:t>
      </w:r>
      <w:r w:rsidR="005D5E78" w:rsidRPr="009E3021">
        <w:rPr>
          <w:rFonts w:ascii="Arial" w:hAnsi="Arial" w:cs="Arial"/>
          <w:sz w:val="20"/>
          <w:szCs w:val="20"/>
        </w:rPr>
        <w:t>Ecuador</w:t>
      </w:r>
      <w:r w:rsidRPr="009E3021">
        <w:rPr>
          <w:rFonts w:ascii="Arial" w:hAnsi="Arial" w:cs="Arial"/>
          <w:sz w:val="20"/>
          <w:szCs w:val="20"/>
        </w:rPr>
        <w:t xml:space="preserve">. </w:t>
      </w:r>
      <w:r w:rsidRPr="009E3021">
        <w:rPr>
          <w:rFonts w:ascii="Arial" w:hAnsi="Arial" w:cs="Arial"/>
          <w:sz w:val="20"/>
          <w:szCs w:val="20"/>
        </w:rPr>
        <w:br/>
      </w:r>
      <w:r w:rsidR="005D5E78" w:rsidRPr="009E3021">
        <w:rPr>
          <w:rFonts w:ascii="Arial" w:hAnsi="Arial" w:cs="Arial"/>
          <w:sz w:val="20"/>
          <w:szCs w:val="20"/>
        </w:rPr>
        <w:t>Correo</w:t>
      </w:r>
      <w:r w:rsidR="009E3021" w:rsidRPr="009E3021">
        <w:rPr>
          <w:rFonts w:ascii="Arial" w:hAnsi="Arial" w:cs="Arial"/>
          <w:sz w:val="20"/>
          <w:szCs w:val="20"/>
        </w:rPr>
        <w:t xml:space="preserve">: </w:t>
      </w:r>
      <w:hyperlink r:id="rId11" w:history="1">
        <w:r w:rsidR="009E3021" w:rsidRPr="009E3021">
          <w:rPr>
            <w:rStyle w:val="Hipervnculo"/>
            <w:rFonts w:ascii="Arial" w:hAnsi="Arial" w:cs="Arial"/>
            <w:color w:val="auto"/>
            <w:sz w:val="20"/>
            <w:szCs w:val="20"/>
            <w:u w:val="none"/>
          </w:rPr>
          <w:t>nancy.carreno@utm.edu.ec</w:t>
        </w:r>
      </w:hyperlink>
      <w:r w:rsidR="005D5E78" w:rsidRPr="009E3021">
        <w:rPr>
          <w:rFonts w:ascii="Arial" w:hAnsi="Arial" w:cs="Arial"/>
          <w:sz w:val="20"/>
          <w:szCs w:val="20"/>
        </w:rPr>
        <w:t>. ORCID ID</w:t>
      </w:r>
      <w:r w:rsidR="009E3021" w:rsidRPr="009E3021">
        <w:rPr>
          <w:rFonts w:ascii="Arial" w:hAnsi="Arial" w:cs="Arial"/>
          <w:sz w:val="20"/>
          <w:szCs w:val="20"/>
        </w:rPr>
        <w:t xml:space="preserve">: </w:t>
      </w:r>
      <w:hyperlink r:id="rId12" w:history="1">
        <w:r w:rsidR="009E3021" w:rsidRPr="009E3021">
          <w:rPr>
            <w:rStyle w:val="Hipervnculo"/>
            <w:rFonts w:ascii="Arial" w:hAnsi="Arial" w:cs="Arial"/>
            <w:color w:val="auto"/>
            <w:sz w:val="20"/>
            <w:szCs w:val="20"/>
            <w:u w:val="none"/>
          </w:rPr>
          <w:t>https://orcid.org/0000-0002-2082-3819</w:t>
        </w:r>
      </w:hyperlink>
      <w:r w:rsidRPr="009E3021">
        <w:rPr>
          <w:rFonts w:ascii="Arial" w:hAnsi="Arial" w:cs="Arial"/>
          <w:sz w:val="20"/>
          <w:szCs w:val="20"/>
        </w:rPr>
        <w:t xml:space="preserve">. </w:t>
      </w:r>
    </w:p>
    <w:p w14:paraId="67D6D2BB" w14:textId="77EAC980" w:rsidR="00097A4E" w:rsidRPr="00EC57A3" w:rsidRDefault="00097A4E" w:rsidP="00553AFD">
      <w:pPr>
        <w:widowControl w:val="0"/>
        <w:spacing w:before="240" w:after="0" w:line="240" w:lineRule="auto"/>
        <w:jc w:val="center"/>
        <w:rPr>
          <w:rFonts w:ascii="Arial" w:hAnsi="Arial" w:cs="Arial"/>
          <w:sz w:val="24"/>
          <w:lang w:val="es-VE"/>
        </w:rPr>
      </w:pPr>
      <w:r w:rsidRPr="002C3A06">
        <w:rPr>
          <w:rFonts w:ascii="Arial" w:hAnsi="Arial" w:cs="Arial"/>
          <w:b/>
          <w:color w:val="000000" w:themeColor="text1"/>
        </w:rPr>
        <w:t>Resumen</w:t>
      </w:r>
    </w:p>
    <w:p w14:paraId="2654BEA6" w14:textId="7634111E" w:rsidR="009E5435" w:rsidRPr="00AD5E91" w:rsidRDefault="009E3021" w:rsidP="00DB374F">
      <w:pPr>
        <w:pBdr>
          <w:top w:val="nil"/>
          <w:left w:val="nil"/>
          <w:bottom w:val="nil"/>
          <w:right w:val="nil"/>
          <w:between w:val="nil"/>
        </w:pBdr>
        <w:tabs>
          <w:tab w:val="left" w:pos="851"/>
        </w:tabs>
        <w:spacing w:before="240" w:after="0" w:line="240" w:lineRule="auto"/>
        <w:jc w:val="both"/>
        <w:rPr>
          <w:rFonts w:ascii="Arial" w:eastAsia="Georgia" w:hAnsi="Arial" w:cs="Arial"/>
          <w:color w:val="000000"/>
          <w:sz w:val="20"/>
          <w:szCs w:val="20"/>
        </w:rPr>
      </w:pPr>
      <w:r w:rsidRPr="009E3021">
        <w:rPr>
          <w:rFonts w:ascii="Arial" w:eastAsia="Georgia" w:hAnsi="Arial" w:cs="Arial"/>
          <w:color w:val="000000"/>
          <w:sz w:val="20"/>
          <w:szCs w:val="20"/>
        </w:rPr>
        <w:t>En las instituciones públicas el cumplimiento de disposiciones legales en la ejecución de cada uno de los procesos es fundamental para garantizar la eficiencia en la administración de los recursos. El objetivo de este artículo consistió en analizar la incidencia del control previo al pago en la administración de recursos de la Corporación Eléctrica del Ecuador, Unidad de Negocio TERMOMANABI durante el año 2022. Se desarrolló una investigación de tipo documental, diseño no experimental y alcance descriptivo, basada en datos publicados por la institución en su página web oficial. Además, se consideró una muestra de 20 procesos de contratación llevados a cabo en el año objeto de estudio. Entre los resultados se destaca los principales errores identificados en el área de tesorería previo al pago a los proveedores de bienes y servicios, siendo, los errores de forma más comunes la falta de firmas y documentación incompleta, por los que suelen retrasarse los pagos. Se concluye que en el año 2022 la institución presentó una adecuada gestión de los recursos sustentada por el cumplimiento de las respectivas normas y demás disposiciones legales en el desarrollo de sus actividades</w:t>
      </w:r>
      <w:r w:rsidR="00BF7EFE">
        <w:rPr>
          <w:rFonts w:ascii="Arial" w:eastAsia="Georgia" w:hAnsi="Arial" w:cs="Arial"/>
          <w:color w:val="000000"/>
          <w:sz w:val="20"/>
          <w:szCs w:val="20"/>
        </w:rPr>
        <w:t>.</w:t>
      </w:r>
    </w:p>
    <w:p w14:paraId="1C229F07" w14:textId="07225019" w:rsidR="009E5435" w:rsidRPr="009E5435" w:rsidRDefault="009E5435" w:rsidP="00553AFD">
      <w:pPr>
        <w:pBdr>
          <w:top w:val="nil"/>
          <w:left w:val="nil"/>
          <w:bottom w:val="nil"/>
          <w:right w:val="nil"/>
          <w:between w:val="nil"/>
        </w:pBdr>
        <w:tabs>
          <w:tab w:val="left" w:pos="851"/>
        </w:tabs>
        <w:spacing w:before="240" w:after="0" w:line="240" w:lineRule="auto"/>
        <w:jc w:val="both"/>
        <w:rPr>
          <w:rFonts w:ascii="Arial" w:hAnsi="Arial" w:cs="Arial"/>
          <w:color w:val="000000"/>
          <w:sz w:val="20"/>
          <w:szCs w:val="20"/>
        </w:rPr>
      </w:pPr>
      <w:r w:rsidRPr="009E5435">
        <w:rPr>
          <w:rFonts w:ascii="Arial" w:eastAsia="Georgia" w:hAnsi="Arial" w:cs="Arial"/>
          <w:b/>
          <w:color w:val="000000"/>
          <w:sz w:val="20"/>
          <w:szCs w:val="20"/>
        </w:rPr>
        <w:t>Palabras claves:</w:t>
      </w:r>
      <w:r w:rsidRPr="009E5435">
        <w:rPr>
          <w:rFonts w:ascii="Arial" w:eastAsia="Georgia" w:hAnsi="Arial" w:cs="Arial"/>
          <w:color w:val="000000"/>
          <w:sz w:val="20"/>
          <w:szCs w:val="20"/>
        </w:rPr>
        <w:t xml:space="preserve"> </w:t>
      </w:r>
      <w:r w:rsidR="009E3021" w:rsidRPr="009E3021">
        <w:rPr>
          <w:rFonts w:ascii="Arial" w:eastAsia="Georgia" w:hAnsi="Arial" w:cs="Arial"/>
          <w:color w:val="000000"/>
          <w:sz w:val="20"/>
          <w:szCs w:val="20"/>
        </w:rPr>
        <w:t>Administración, control, normas, pago, tesorería</w:t>
      </w:r>
      <w:r>
        <w:rPr>
          <w:rFonts w:ascii="Arial" w:eastAsia="Georgia" w:hAnsi="Arial" w:cs="Arial"/>
          <w:color w:val="000000"/>
          <w:sz w:val="20"/>
          <w:szCs w:val="20"/>
        </w:rPr>
        <w:t>.</w:t>
      </w:r>
    </w:p>
    <w:p w14:paraId="563C7E11" w14:textId="078D8FA2" w:rsidR="002A02AE" w:rsidRPr="00903C50" w:rsidRDefault="00204044" w:rsidP="00FF1B1E">
      <w:pPr>
        <w:widowControl w:val="0"/>
        <w:spacing w:before="240" w:line="240" w:lineRule="auto"/>
        <w:jc w:val="center"/>
        <w:rPr>
          <w:rFonts w:ascii="Arial" w:hAnsi="Arial" w:cs="Arial"/>
          <w:b/>
          <w:color w:val="000000" w:themeColor="text1"/>
          <w:lang w:val="en-US"/>
        </w:rPr>
      </w:pPr>
      <w:r w:rsidRPr="00903C50">
        <w:rPr>
          <w:rFonts w:ascii="Arial" w:hAnsi="Arial" w:cs="Arial"/>
          <w:b/>
          <w:color w:val="000000" w:themeColor="text1"/>
          <w:lang w:val="en-US"/>
        </w:rPr>
        <w:t>Abstract</w:t>
      </w:r>
    </w:p>
    <w:p w14:paraId="1DD9ABD8" w14:textId="410957A5" w:rsidR="009E5435" w:rsidRPr="009E5435" w:rsidRDefault="009E3021" w:rsidP="00DB374F">
      <w:pPr>
        <w:spacing w:line="240" w:lineRule="auto"/>
        <w:jc w:val="both"/>
        <w:rPr>
          <w:rFonts w:ascii="Arial" w:hAnsi="Arial" w:cs="Arial"/>
          <w:bCs/>
          <w:color w:val="000000" w:themeColor="text1"/>
          <w:sz w:val="20"/>
          <w:szCs w:val="20"/>
          <w:lang w:val="en-US"/>
        </w:rPr>
      </w:pPr>
      <w:r w:rsidRPr="009E3021">
        <w:rPr>
          <w:rFonts w:ascii="Arial" w:hAnsi="Arial" w:cs="Arial"/>
          <w:bCs/>
          <w:color w:val="000000" w:themeColor="text1"/>
          <w:sz w:val="20"/>
          <w:szCs w:val="20"/>
          <w:lang w:val="en-US"/>
        </w:rPr>
        <w:t>In public institutions, compliance with legal provisions in the execution of each of the processes is essential to guarantee efficiency in the administration of resources. The objective of this article was to analyze the incidence of pre-payment control in the management of resources of the Electric Corporation of Ecuador, TERMOMANABI Business Unit during the year 2022. A documentary-type investigation, non-experimental design and descriptive scope was developed, based on data published by the institution on its official website. In addition, a sample of 20 contracting processes carried out in the year under study was considered. Among the results, the main errors identified in the treasury area prior to payment to suppliers of goods and services stand out, the most common errors being the lack of signatures and incomplete documentation, for which payments are usually delayed. It is concluded that in 2022 the institution presented adequate management of resources supported by compliance with the respective standards and other legal provisions in the development of its activities</w:t>
      </w:r>
      <w:r w:rsidR="009E5435" w:rsidRPr="009E5435">
        <w:rPr>
          <w:rFonts w:ascii="Arial" w:hAnsi="Arial" w:cs="Arial"/>
          <w:bCs/>
          <w:color w:val="000000" w:themeColor="text1"/>
          <w:sz w:val="20"/>
          <w:szCs w:val="20"/>
          <w:lang w:val="en-US"/>
        </w:rPr>
        <w:t>.</w:t>
      </w:r>
    </w:p>
    <w:p w14:paraId="0FCB097D" w14:textId="4BAB591A" w:rsidR="00F2734C" w:rsidRDefault="009E5435" w:rsidP="00AD5E91">
      <w:pPr>
        <w:spacing w:line="240" w:lineRule="auto"/>
        <w:jc w:val="both"/>
        <w:rPr>
          <w:rFonts w:ascii="Arial" w:hAnsi="Arial" w:cs="Arial"/>
          <w:bCs/>
          <w:color w:val="000000" w:themeColor="text1"/>
          <w:sz w:val="20"/>
          <w:szCs w:val="20"/>
          <w:lang w:val="en-US"/>
        </w:rPr>
      </w:pPr>
      <w:r w:rsidRPr="009E5435">
        <w:rPr>
          <w:rFonts w:ascii="Arial" w:hAnsi="Arial" w:cs="Arial"/>
          <w:b/>
          <w:color w:val="000000" w:themeColor="text1"/>
          <w:sz w:val="20"/>
          <w:szCs w:val="20"/>
          <w:lang w:val="en-US"/>
        </w:rPr>
        <w:t>Keywords:</w:t>
      </w:r>
      <w:r w:rsidRPr="009E5435">
        <w:rPr>
          <w:rFonts w:ascii="Arial" w:hAnsi="Arial" w:cs="Arial"/>
          <w:bCs/>
          <w:color w:val="000000" w:themeColor="text1"/>
          <w:sz w:val="20"/>
          <w:szCs w:val="20"/>
          <w:lang w:val="en-US"/>
        </w:rPr>
        <w:t xml:space="preserve"> </w:t>
      </w:r>
      <w:r w:rsidR="009E3021" w:rsidRPr="009E3021">
        <w:rPr>
          <w:rFonts w:ascii="Arial" w:hAnsi="Arial" w:cs="Arial"/>
          <w:bCs/>
          <w:color w:val="000000" w:themeColor="text1"/>
          <w:sz w:val="20"/>
          <w:szCs w:val="20"/>
          <w:lang w:val="en-US"/>
        </w:rPr>
        <w:t>Administration, control, standards, payment, treasury</w:t>
      </w:r>
      <w:r w:rsidRPr="009E5435">
        <w:rPr>
          <w:rFonts w:ascii="Arial" w:hAnsi="Arial" w:cs="Arial"/>
          <w:bCs/>
          <w:color w:val="000000" w:themeColor="text1"/>
          <w:sz w:val="20"/>
          <w:szCs w:val="20"/>
          <w:lang w:val="en-US"/>
        </w:rPr>
        <w:t>.</w:t>
      </w:r>
    </w:p>
    <w:p w14:paraId="1080511B" w14:textId="7515DEAE" w:rsidR="007A33C4" w:rsidRDefault="007A33C4" w:rsidP="00FF7AE3">
      <w:pPr>
        <w:tabs>
          <w:tab w:val="left" w:pos="804"/>
        </w:tabs>
        <w:rPr>
          <w:rFonts w:ascii="Arial" w:hAnsi="Arial" w:cs="Arial"/>
          <w:sz w:val="20"/>
          <w:szCs w:val="20"/>
          <w:lang w:val="en-US"/>
        </w:rPr>
      </w:pPr>
    </w:p>
    <w:p w14:paraId="33AF2693" w14:textId="77777777" w:rsidR="00597D70" w:rsidRDefault="00597D70" w:rsidP="00FF7AE3">
      <w:pPr>
        <w:tabs>
          <w:tab w:val="left" w:pos="804"/>
        </w:tabs>
        <w:rPr>
          <w:rFonts w:ascii="Arial" w:hAnsi="Arial" w:cs="Arial"/>
          <w:sz w:val="20"/>
          <w:szCs w:val="20"/>
          <w:lang w:val="en-US"/>
        </w:rPr>
      </w:pPr>
    </w:p>
    <w:p w14:paraId="0F9EB38A" w14:textId="1783BB25" w:rsidR="009E3021" w:rsidRPr="00FF7AE3" w:rsidRDefault="009E3021" w:rsidP="00FF7AE3">
      <w:pPr>
        <w:tabs>
          <w:tab w:val="left" w:pos="804"/>
        </w:tabs>
        <w:rPr>
          <w:rFonts w:ascii="Arial" w:hAnsi="Arial" w:cs="Arial"/>
          <w:sz w:val="20"/>
          <w:szCs w:val="20"/>
          <w:lang w:val="en-US"/>
        </w:rPr>
        <w:sectPr w:rsidR="009E3021" w:rsidRPr="00FF7AE3" w:rsidSect="009E3021">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pgNumType w:start="1110"/>
          <w:cols w:space="708"/>
          <w:titlePg/>
          <w:docGrid w:linePitch="360"/>
        </w:sectPr>
      </w:pPr>
    </w:p>
    <w:p w14:paraId="4C6348A2" w14:textId="4873D49B" w:rsidR="00401176" w:rsidRPr="00F43CDA" w:rsidRDefault="00F43CDA" w:rsidP="000F2968">
      <w:pPr>
        <w:pStyle w:val="Prrafodelista"/>
        <w:numPr>
          <w:ilvl w:val="0"/>
          <w:numId w:val="1"/>
        </w:numPr>
        <w:spacing w:before="240" w:line="360" w:lineRule="auto"/>
        <w:jc w:val="both"/>
        <w:rPr>
          <w:rFonts w:ascii="Arial" w:hAnsi="Arial" w:cs="Arial"/>
          <w:b/>
          <w:bCs/>
          <w:sz w:val="24"/>
          <w:szCs w:val="24"/>
        </w:rPr>
      </w:pPr>
      <w:r w:rsidRPr="00F43CDA">
        <w:rPr>
          <w:rFonts w:ascii="Arial" w:hAnsi="Arial" w:cs="Arial"/>
          <w:b/>
          <w:bCs/>
          <w:sz w:val="24"/>
          <w:szCs w:val="24"/>
        </w:rPr>
        <w:lastRenderedPageBreak/>
        <w:t>Introducción</w:t>
      </w:r>
    </w:p>
    <w:p w14:paraId="37034CCC"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En gran parte de los estados del mundo, el 70% de su presupuesto es asignado en contrataciones o adquisición de bienes o servicios; sin embargo, en estos procesos surgen irregularidades que inciden en la administración eficiente de recursos. Esta problemática es muy común en países latinoamericanos, que mediante escándalos de corrupción desacreditan la imagen de las instituciones del estado, dados en gran parte por debilidades que presenta el control interno aplicado en el sector público (Ruiz &amp; Delgado, 2020). </w:t>
      </w:r>
    </w:p>
    <w:p w14:paraId="14A5EF73"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El control interno en la actualidad es uno de los pilares en las organizaciones sean estas públicas o privadas, ya que permite observar de manera clara la eficiencia y la eficacia de las operaciones que llevan a cabo, así como la confiabilidad de los registros y el cumplimiento de leyes, normas y regulaciones aplicables y aplicados en los procesos operativos. Así también, se destaca que la entidad que aplica controles internos en sus operaciones podrá conocer con mayor seguridad la situación real de las mismas, además, disponer de un </w:t>
      </w:r>
      <w:r w:rsidRPr="00403E76">
        <w:rPr>
          <w:rFonts w:ascii="Arial" w:hAnsi="Arial" w:cs="Arial"/>
          <w:sz w:val="24"/>
          <w:szCs w:val="24"/>
          <w:lang w:val="es-ES"/>
        </w:rPr>
        <w:t>sistema de control interno facilita la medición de la eficiencia y la productividad en determinado momento y tomar acciones correctivas oportunas si el caso lo amerita (W. Mendoza et al., 2018).</w:t>
      </w:r>
    </w:p>
    <w:p w14:paraId="3CDFD13D"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De acuerdo con Rodríguez (2020), los mayores niveles de eficiencia se reflejan en el ahorro de recursos, particularmente tiempo y dinero; es por ello, importante que se evalúe el control interno que las entidades aplican a las compras públicas. Parte de ello, es el control previo, que es el conjunto de métodos y procedimientos que contribuyen al aseguramiento de que los activos se encuentran debidamente protegidos, que los registros contables son fidedignos y que la actividad de la entidad se lleva a cabo de manera eficaz y en cumplimiento de las directrices establecidas para el efecto. </w:t>
      </w:r>
    </w:p>
    <w:p w14:paraId="716AEF6B"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El control previo forma parte del control interno, que permite identificar y prevenir riesgos, irregularidades y actos de corrupción, por tanto, el control interno busca que las instituciones públicas sean más eficientes y transparentes para el cumplimiento </w:t>
      </w:r>
      <w:r w:rsidRPr="00403E76">
        <w:rPr>
          <w:rFonts w:ascii="Arial" w:hAnsi="Arial" w:cs="Arial"/>
          <w:sz w:val="24"/>
          <w:szCs w:val="24"/>
          <w:lang w:val="es-ES"/>
        </w:rPr>
        <w:lastRenderedPageBreak/>
        <w:t>de metas y actividades según lo planificado (Vera, 2016).</w:t>
      </w:r>
    </w:p>
    <w:p w14:paraId="2E6FC90B"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En Ecuador, el control previo está establecido en base a la norma de control interno 402-02 que define textualmente al control previo como el “(…) conjunto de procedimientos y acciones que adoptan los niveles directivos de las entidades, antes de tomar decisiones, para precautelar la correcta administración del talento humano, financieros y materiales” (Contraloría General del Estado, 2023, p.18). El control previo al devengado, anterior a la aceptación de una obligación, o al reconocimiento de un derecho, los servidores encargados según la NIC 402-03 deberán confirmar que las obligaciones o deudas sean veraces y corresponda a una transacción financiera que haya reunido los requisitos exigidos en la fase del control previo, que se haya registrado contablemente y contenga la autorización respectiva, así como mantenga su razonabilidad y exactitud aritmética (Contraloría General del Estado, 2023).</w:t>
      </w:r>
    </w:p>
    <w:p w14:paraId="11807780"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En este sentido, es importante exista coherencia con las normas y leyes del Estado, las diferentes disposiciones de control con las </w:t>
      </w:r>
      <w:r w:rsidRPr="00403E76">
        <w:rPr>
          <w:rFonts w:ascii="Arial" w:hAnsi="Arial" w:cs="Arial"/>
          <w:sz w:val="24"/>
          <w:szCs w:val="24"/>
          <w:lang w:val="es-ES"/>
        </w:rPr>
        <w:t>múltiples instituciones públicas, de aquello se encarga la Contraloría General del Estado, que como organismo regulador y de control externo contribuye a la seguridad mediante la aplicación de un sistema de control, fiscalización y auditoría regulando un funcionamiento eficaz y eficiente dentro de las instituciones con un único fin que cumpla con la visión, misión y objetivos planteados y administrar de manera adecuada sus recursos y bienes públicos (Zambrano &amp; Vera, 2022).</w:t>
      </w:r>
    </w:p>
    <w:p w14:paraId="08752E70"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Para el cumplimiento del control previo al pago a contratistas está claro que toda entidad del sector público debe acogerse a normas de contratación, de tal manera que exista un control responsable para agilizar el proceso de pago de forma correcta. Para ello, es relevante que todo servidor público conozca el proceso de control previo propicio, y en este caso, el personal del área financiera como responsables de verificar la legalidad de los documentos y presencia de los respaldos necesarios para realizar el pago (Rhein, 2019).En este contexto, se debe tener un adecuado control en el área de tesorería, para optimizar el manejo de fondos </w:t>
      </w:r>
      <w:r w:rsidRPr="00403E76">
        <w:rPr>
          <w:rFonts w:ascii="Arial" w:hAnsi="Arial" w:cs="Arial"/>
          <w:sz w:val="24"/>
          <w:szCs w:val="24"/>
          <w:lang w:val="es-ES"/>
        </w:rPr>
        <w:lastRenderedPageBreak/>
        <w:t>públicos, ya que la falta de control interno en esta área genera deficiencias en las instituciones (Arteta, 2019).</w:t>
      </w:r>
    </w:p>
    <w:p w14:paraId="1283365D"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Uno de los principales problemas que se presentan en las instituciones públicas ecuatorianas y que afecta al cumplimiento de objetivos, es la demora en la revisión de procesos de pago, lo que genera malestar en los proveedores y contratistas, debido a que en los procesos anexan documentos innecesarios o con errores; y al detectar una irregularidad devuelven la documentación para su rectificación al ordenador de gasto, retrasando el trámite de pago (Urquizo, 2018). </w:t>
      </w:r>
    </w:p>
    <w:p w14:paraId="4EC93FB0"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El proceso que toma más tiempo es el pago a proveedores en tesorería, tomando en promedio 10.1 días cuando el periodo determinado es de 5.5 días, debido a que durante el proceso de pago se identificaron tres situaciones relacionadas con el área de tesorería: demora en la revisión de expedientes, retraso en el visado del expediente en el área de finanzas y demora en el pago (Palomino, 2022).</w:t>
      </w:r>
    </w:p>
    <w:p w14:paraId="199D1BBB" w14:textId="77777777" w:rsidR="00403E76" w:rsidRPr="00403E76" w:rsidRDefault="00403E76" w:rsidP="00403E76">
      <w:pPr>
        <w:spacing w:after="120" w:line="360" w:lineRule="auto"/>
        <w:jc w:val="both"/>
        <w:rPr>
          <w:rFonts w:ascii="Arial" w:hAnsi="Arial" w:cs="Arial"/>
          <w:sz w:val="24"/>
          <w:szCs w:val="24"/>
          <w:lang w:val="es-ES"/>
        </w:rPr>
      </w:pPr>
      <w:r w:rsidRPr="00403E76">
        <w:rPr>
          <w:rFonts w:ascii="Arial" w:hAnsi="Arial" w:cs="Arial"/>
          <w:sz w:val="24"/>
          <w:szCs w:val="24"/>
          <w:lang w:val="es-ES"/>
        </w:rPr>
        <w:t xml:space="preserve">Tal es el caso de la Corporación Eléctrica del Ecuador, Unidad de Negocio TERMOMANABÍ, que se </w:t>
      </w:r>
      <w:r w:rsidRPr="00403E76">
        <w:rPr>
          <w:rFonts w:ascii="Arial" w:hAnsi="Arial" w:cs="Arial"/>
          <w:sz w:val="24"/>
          <w:szCs w:val="24"/>
          <w:lang w:val="es-ES"/>
        </w:rPr>
        <w:t xml:space="preserve">encarga de la administración, operación y mantenimiento de las centrales de generación Jaramijó, Manta II, Pedernales y Miraflores, para lo cual debe realizar contratación de bienes y servicios que permitan el adecuado desarrollo de las actividades de esta empresa pública (Corporación Eléctrica del Ecuador, 2022), donde se suelen presentar errores o incumplimiento de requerimientos por parte de los proveedores, que son identificados en el control previo al pago efectuado por el área de Tesorería, lo que incide en el retraso de pagos y en la eficiencia del proceso. </w:t>
      </w:r>
    </w:p>
    <w:p w14:paraId="1819E350" w14:textId="440E45A7" w:rsidR="00403E76" w:rsidRDefault="00403E76" w:rsidP="003C7B72">
      <w:pPr>
        <w:spacing w:after="120" w:line="360" w:lineRule="auto"/>
        <w:jc w:val="both"/>
        <w:rPr>
          <w:rFonts w:ascii="Arial" w:hAnsi="Arial" w:cs="Arial"/>
          <w:sz w:val="24"/>
          <w:szCs w:val="24"/>
          <w:lang w:val="es-ES"/>
        </w:rPr>
      </w:pPr>
      <w:r w:rsidRPr="00403E76">
        <w:rPr>
          <w:rFonts w:ascii="Arial" w:hAnsi="Arial" w:cs="Arial"/>
          <w:sz w:val="24"/>
          <w:szCs w:val="24"/>
          <w:lang w:val="es-ES"/>
        </w:rPr>
        <w:t>En este contexto se realiza el presente artículo científico que tuvo como objetivo analizar la incidencia del control previo al pago en la administración de recursos de la Corporación Eléctrica del Ecuador, Unidad de Negocio TERMOMANABI durante el año 2022.</w:t>
      </w:r>
    </w:p>
    <w:p w14:paraId="2DBAD9BC" w14:textId="77777777" w:rsidR="0064690C" w:rsidRPr="0064690C" w:rsidRDefault="0064690C" w:rsidP="009246D7">
      <w:pPr>
        <w:spacing w:after="120" w:line="360" w:lineRule="auto"/>
        <w:jc w:val="both"/>
        <w:rPr>
          <w:rFonts w:ascii="Arial" w:hAnsi="Arial" w:cs="Arial"/>
          <w:sz w:val="10"/>
          <w:szCs w:val="10"/>
          <w:lang w:val="es-ES"/>
        </w:rPr>
      </w:pPr>
    </w:p>
    <w:p w14:paraId="4F4AC42E" w14:textId="7355BF1E" w:rsidR="007623B0" w:rsidRPr="00F43CDA" w:rsidRDefault="00403E76" w:rsidP="000F2968">
      <w:pPr>
        <w:pStyle w:val="Prrafodelista"/>
        <w:numPr>
          <w:ilvl w:val="0"/>
          <w:numId w:val="1"/>
        </w:numPr>
        <w:spacing w:before="240" w:line="360" w:lineRule="auto"/>
        <w:jc w:val="both"/>
        <w:rPr>
          <w:rFonts w:ascii="Arial" w:hAnsi="Arial" w:cs="Arial"/>
          <w:b/>
          <w:bCs/>
          <w:sz w:val="24"/>
          <w:szCs w:val="24"/>
        </w:rPr>
      </w:pPr>
      <w:r>
        <w:rPr>
          <w:rFonts w:ascii="Arial" w:hAnsi="Arial" w:cs="Arial"/>
          <w:b/>
          <w:bCs/>
          <w:sz w:val="24"/>
          <w:szCs w:val="24"/>
        </w:rPr>
        <w:t>Metodología</w:t>
      </w:r>
    </w:p>
    <w:p w14:paraId="70BA379E"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El estudio realizado fue de tipo documental, donde se analiza información obtenida de fuentes secundarias como informes de auditorías, contratos, normas, páginas web y otras que facilitaron la </w:t>
      </w:r>
      <w:r w:rsidRPr="00403E76">
        <w:rPr>
          <w:rFonts w:ascii="Arial" w:hAnsi="Arial" w:cs="Arial"/>
          <w:sz w:val="24"/>
          <w:szCs w:val="24"/>
        </w:rPr>
        <w:lastRenderedPageBreak/>
        <w:t xml:space="preserve">obtención de resultados y el análisis de </w:t>
      </w:r>
      <w:proofErr w:type="gramStart"/>
      <w:r w:rsidRPr="00403E76">
        <w:rPr>
          <w:rFonts w:ascii="Arial" w:hAnsi="Arial" w:cs="Arial"/>
          <w:sz w:val="24"/>
          <w:szCs w:val="24"/>
        </w:rPr>
        <w:t>los mismos</w:t>
      </w:r>
      <w:proofErr w:type="gramEnd"/>
      <w:r w:rsidRPr="00403E76">
        <w:rPr>
          <w:rFonts w:ascii="Arial" w:hAnsi="Arial" w:cs="Arial"/>
          <w:sz w:val="24"/>
          <w:szCs w:val="24"/>
        </w:rPr>
        <w:t>, para llegar a conclusiones específicas sobre la problemática a investigar. De acuerdo con Reyes y Carmona (2020), la investigación documental es aquella que se lleva a cabo mediante la consulta de memorias, libros, periódicos, constituciones, leyes y otros documentos que contengan información relevante sobre el objeto de estudio.</w:t>
      </w:r>
    </w:p>
    <w:p w14:paraId="32F492A6"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El diseño de la investigación fue no experimental, porque se basó en el análisis de información generada por hechos o situaciones que se han dado </w:t>
      </w:r>
      <w:proofErr w:type="gramStart"/>
      <w:r w:rsidRPr="00403E76">
        <w:rPr>
          <w:rFonts w:ascii="Arial" w:hAnsi="Arial" w:cs="Arial"/>
          <w:sz w:val="24"/>
          <w:szCs w:val="24"/>
        </w:rPr>
        <w:t>en relación al</w:t>
      </w:r>
      <w:proofErr w:type="gramEnd"/>
      <w:r w:rsidRPr="00403E76">
        <w:rPr>
          <w:rFonts w:ascii="Arial" w:hAnsi="Arial" w:cs="Arial"/>
          <w:sz w:val="24"/>
          <w:szCs w:val="24"/>
        </w:rPr>
        <w:t xml:space="preserve"> control previo al pago en la administración de recursos en la Corporación Eléctrica del Ecuador, Unidad de Negocio TERMOMANABI durante el año 2022. La investigación no experimental, según Guevara et al. (2020), se enfoca en la observación de fenómenos tal y como se dan en su contexto natural, para su posterior análisis.</w:t>
      </w:r>
    </w:p>
    <w:p w14:paraId="6BAAB3A8" w14:textId="751D1281"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El alcance de este estudio fue descriptivo, debido a que se detallaron aspectos importantes que se identificaron del análisis de la información recopilada referente al control previo al pago y su incidencia </w:t>
      </w:r>
      <w:r w:rsidRPr="00403E76">
        <w:rPr>
          <w:rFonts w:ascii="Arial" w:hAnsi="Arial" w:cs="Arial"/>
          <w:sz w:val="24"/>
          <w:szCs w:val="24"/>
        </w:rPr>
        <w:t>en la administración de recursos en la Corporación Eléctrica del Ecuador, Unidad de Negocio TERMOMANABI durante el año 2022. Este tipo de alcance “permite conocer las características del fenómeno o grupo de personas, tiene como función principal profundizar, describir o medir conceptos o situaciones”</w:t>
      </w:r>
      <w:r>
        <w:rPr>
          <w:rFonts w:ascii="Arial" w:hAnsi="Arial" w:cs="Arial"/>
          <w:sz w:val="24"/>
          <w:szCs w:val="24"/>
        </w:rPr>
        <w:t xml:space="preserve"> </w:t>
      </w:r>
      <w:r w:rsidRPr="00403E76">
        <w:rPr>
          <w:rFonts w:ascii="Arial" w:hAnsi="Arial" w:cs="Arial"/>
          <w:sz w:val="24"/>
          <w:szCs w:val="24"/>
        </w:rPr>
        <w:t>(Villanueva, 2022, p.89).</w:t>
      </w:r>
    </w:p>
    <w:p w14:paraId="0EBB2D91"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La población que se tomó en cuenta para el desarrollo de la investigación fue: 50 procesos de contratación que se llevaron a cabo durante el año 2022 y se seleccionó una muestra total de 20 procesos que presentaron observaciones durante el control previo al pago. El muestreo aplicado fue no probabilístico por conveniencia, donde se considera los elementos que tienen relación y brindan información relevante para el cumplimiento del objetivo de este artículo.</w:t>
      </w:r>
    </w:p>
    <w:p w14:paraId="3DCFDF21"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Las técnicas aplicadas fueron la documental-bibliográfica, ya que se buscó información en fuentes bibliográficas, provenientes de libros, revistas, y otras investigaciones con el fin de conocer teóricamente el objeto de estudio y tener un criterio lo suficientemente claro de lo que se investigó. También </w:t>
      </w:r>
      <w:r w:rsidRPr="00403E76">
        <w:rPr>
          <w:rFonts w:ascii="Arial" w:hAnsi="Arial" w:cs="Arial"/>
          <w:sz w:val="24"/>
          <w:szCs w:val="24"/>
        </w:rPr>
        <w:lastRenderedPageBreak/>
        <w:t xml:space="preserve">se obtuvo información de la página oficial de CELEC EP </w:t>
      </w:r>
      <w:proofErr w:type="spellStart"/>
      <w:r w:rsidRPr="00403E76">
        <w:rPr>
          <w:rFonts w:ascii="Arial" w:hAnsi="Arial" w:cs="Arial"/>
          <w:sz w:val="24"/>
          <w:szCs w:val="24"/>
        </w:rPr>
        <w:t>Termomanabí</w:t>
      </w:r>
      <w:proofErr w:type="spellEnd"/>
      <w:r w:rsidRPr="00403E76">
        <w:rPr>
          <w:rFonts w:ascii="Arial" w:hAnsi="Arial" w:cs="Arial"/>
          <w:sz w:val="24"/>
          <w:szCs w:val="24"/>
        </w:rPr>
        <w:t xml:space="preserve"> de la sección de transparencia correspondiente al año 2022. Se realizó un diagnóstico mediante la revisión documental de los contratos de compras públicas realizados en la Corporación Eléctrica del Ecuador, Unidad de Negocio Termo Manabí, para verificar donde se encuentran los puntos críticos en los procesos de contratación que estancan los procesos, afectan la operatividad de la empresa y demoran los pagos a los proveedores.  También, se consideró informes de auditoría correspondientes al año 2022, donde </w:t>
      </w:r>
      <w:proofErr w:type="gramStart"/>
      <w:r w:rsidRPr="00403E76">
        <w:rPr>
          <w:rFonts w:ascii="Arial" w:hAnsi="Arial" w:cs="Arial"/>
          <w:sz w:val="24"/>
          <w:szCs w:val="24"/>
        </w:rPr>
        <w:t>de acuerdo a</w:t>
      </w:r>
      <w:proofErr w:type="gramEnd"/>
      <w:r w:rsidRPr="00403E76">
        <w:rPr>
          <w:rFonts w:ascii="Arial" w:hAnsi="Arial" w:cs="Arial"/>
          <w:sz w:val="24"/>
          <w:szCs w:val="24"/>
        </w:rPr>
        <w:t xml:space="preserve"> las observaciones realizadas se identificó si esta empresa pública ha incumplido en la aplicación de la Norma de Control Interno referente al compromiso y devengado en la administración de recursos. La información obtenida se procesó identificando los procesos </w:t>
      </w:r>
      <w:r w:rsidRPr="00403E76">
        <w:rPr>
          <w:rFonts w:ascii="Arial" w:hAnsi="Arial" w:cs="Arial"/>
          <w:sz w:val="24"/>
          <w:szCs w:val="24"/>
        </w:rPr>
        <w:t>que presentan observaciones y cuáles son las causas de éstas.</w:t>
      </w:r>
    </w:p>
    <w:p w14:paraId="3581F9E3" w14:textId="775BD83E" w:rsidR="00403E76" w:rsidRDefault="00403E76" w:rsidP="005D5E78">
      <w:pPr>
        <w:spacing w:before="240" w:line="360" w:lineRule="auto"/>
        <w:jc w:val="both"/>
        <w:rPr>
          <w:rFonts w:ascii="Arial" w:hAnsi="Arial" w:cs="Arial"/>
          <w:sz w:val="24"/>
          <w:szCs w:val="24"/>
        </w:rPr>
      </w:pPr>
      <w:r w:rsidRPr="00403E76">
        <w:rPr>
          <w:rFonts w:ascii="Arial" w:hAnsi="Arial" w:cs="Arial"/>
          <w:sz w:val="24"/>
          <w:szCs w:val="24"/>
        </w:rPr>
        <w:t>Todos los datos obtenidos, se analizaron, interpretaron y se representaron gráficamente por medio de herramientas informáticas como Excel y Word, en donde se especificó los contenidos para brindar claridad respecto al objeto de estudio.</w:t>
      </w:r>
    </w:p>
    <w:p w14:paraId="64A26E00" w14:textId="4662EFE9" w:rsidR="00630EEC" w:rsidRPr="002B27F3" w:rsidRDefault="00630EEC" w:rsidP="00732AD3">
      <w:pPr>
        <w:spacing w:before="240" w:line="360" w:lineRule="auto"/>
        <w:jc w:val="both"/>
        <w:rPr>
          <w:rFonts w:ascii="Arial" w:hAnsi="Arial" w:cs="Arial"/>
          <w:sz w:val="10"/>
          <w:szCs w:val="10"/>
        </w:rPr>
      </w:pPr>
    </w:p>
    <w:p w14:paraId="2EFD80E3" w14:textId="266AE95B" w:rsidR="00630EEC" w:rsidRPr="00F43CDA" w:rsidRDefault="00403E76" w:rsidP="00630EEC">
      <w:pPr>
        <w:pStyle w:val="Prrafodelista"/>
        <w:numPr>
          <w:ilvl w:val="0"/>
          <w:numId w:val="1"/>
        </w:numPr>
        <w:spacing w:before="240" w:line="360" w:lineRule="auto"/>
        <w:jc w:val="both"/>
        <w:rPr>
          <w:rFonts w:ascii="Arial" w:hAnsi="Arial" w:cs="Arial"/>
          <w:b/>
          <w:bCs/>
          <w:sz w:val="24"/>
          <w:szCs w:val="24"/>
        </w:rPr>
      </w:pPr>
      <w:r>
        <w:rPr>
          <w:rFonts w:ascii="Arial" w:hAnsi="Arial" w:cs="Arial"/>
          <w:b/>
          <w:bCs/>
          <w:sz w:val="24"/>
          <w:szCs w:val="24"/>
        </w:rPr>
        <w:t>Resultados y discusión</w:t>
      </w:r>
    </w:p>
    <w:p w14:paraId="001A85D7"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En este apartado se presenta información referente a las dos variables que contempla el tema objeto de estudio: control previo al pago y administración de recursos, tal como se detalla a continuación:</w:t>
      </w:r>
    </w:p>
    <w:p w14:paraId="2DA17845" w14:textId="4861C9D6" w:rsid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El proceso de control previo al pago que se realiza en la Unidad de Negocio TERMOMANABÍ se presenta en la tabla 1.</w:t>
      </w:r>
    </w:p>
    <w:p w14:paraId="31D194BE" w14:textId="77777777" w:rsidR="00403E76" w:rsidRDefault="00403E76" w:rsidP="00403E76">
      <w:pPr>
        <w:spacing w:before="240" w:line="360" w:lineRule="auto"/>
        <w:jc w:val="both"/>
        <w:rPr>
          <w:rFonts w:ascii="Arial" w:hAnsi="Arial" w:cs="Arial"/>
          <w:sz w:val="24"/>
          <w:szCs w:val="24"/>
        </w:rPr>
        <w:sectPr w:rsidR="00403E76" w:rsidSect="00330E16">
          <w:footerReference w:type="default" r:id="rId19"/>
          <w:type w:val="continuous"/>
          <w:pgSz w:w="11906" w:h="16838"/>
          <w:pgMar w:top="1417" w:right="1701" w:bottom="1417" w:left="1701" w:header="708" w:footer="708" w:gutter="0"/>
          <w:cols w:num="2" w:space="708"/>
          <w:docGrid w:linePitch="360"/>
        </w:sectPr>
      </w:pPr>
    </w:p>
    <w:p w14:paraId="47B82615" w14:textId="68FBF33D" w:rsidR="00403E76" w:rsidRPr="00403E76" w:rsidRDefault="00403E76" w:rsidP="00403E76">
      <w:pPr>
        <w:widowControl w:val="0"/>
        <w:spacing w:after="0" w:line="276" w:lineRule="auto"/>
        <w:jc w:val="center"/>
        <w:rPr>
          <w:rFonts w:ascii="Arial" w:hAnsi="Arial" w:cs="Arial"/>
          <w:b/>
          <w:i/>
          <w:color w:val="000000"/>
          <w:sz w:val="20"/>
          <w:szCs w:val="20"/>
        </w:rPr>
      </w:pPr>
      <w:r w:rsidRPr="00403E76">
        <w:rPr>
          <w:rFonts w:ascii="Arial" w:hAnsi="Arial" w:cs="Arial"/>
          <w:b/>
          <w:i/>
          <w:color w:val="000000"/>
          <w:sz w:val="20"/>
          <w:szCs w:val="20"/>
        </w:rPr>
        <w:t xml:space="preserve">Tabla </w:t>
      </w:r>
      <w:r w:rsidRPr="00403E76">
        <w:rPr>
          <w:rFonts w:ascii="Arial" w:hAnsi="Arial" w:cs="Arial"/>
          <w:b/>
          <w:i/>
          <w:color w:val="000000"/>
          <w:sz w:val="20"/>
          <w:szCs w:val="20"/>
        </w:rPr>
        <w:fldChar w:fldCharType="begin"/>
      </w:r>
      <w:r w:rsidRPr="00403E76">
        <w:rPr>
          <w:rFonts w:ascii="Arial" w:hAnsi="Arial" w:cs="Arial"/>
          <w:b/>
          <w:i/>
          <w:color w:val="000000"/>
          <w:sz w:val="20"/>
          <w:szCs w:val="20"/>
        </w:rPr>
        <w:instrText xml:space="preserve"> SEQ Tabla \* ARABIC </w:instrText>
      </w:r>
      <w:r w:rsidRPr="00403E76">
        <w:rPr>
          <w:rFonts w:ascii="Arial" w:hAnsi="Arial" w:cs="Arial"/>
          <w:b/>
          <w:i/>
          <w:color w:val="000000"/>
          <w:sz w:val="20"/>
          <w:szCs w:val="20"/>
        </w:rPr>
        <w:fldChar w:fldCharType="separate"/>
      </w:r>
      <w:r w:rsidR="00F96511">
        <w:rPr>
          <w:rFonts w:ascii="Arial" w:hAnsi="Arial" w:cs="Arial"/>
          <w:b/>
          <w:i/>
          <w:noProof/>
          <w:color w:val="000000"/>
          <w:sz w:val="20"/>
          <w:szCs w:val="20"/>
        </w:rPr>
        <w:t>1</w:t>
      </w:r>
      <w:r w:rsidRPr="00403E76">
        <w:rPr>
          <w:rFonts w:ascii="Arial" w:hAnsi="Arial" w:cs="Arial"/>
          <w:i/>
          <w:color w:val="000000"/>
          <w:sz w:val="20"/>
          <w:szCs w:val="20"/>
        </w:rPr>
        <w:fldChar w:fldCharType="end"/>
      </w:r>
      <w:r w:rsidRPr="00403E76">
        <w:rPr>
          <w:rFonts w:ascii="Arial" w:hAnsi="Arial" w:cs="Arial"/>
          <w:b/>
          <w:i/>
          <w:color w:val="000000"/>
          <w:sz w:val="20"/>
          <w:szCs w:val="20"/>
        </w:rPr>
        <w:t xml:space="preserve">. </w:t>
      </w:r>
      <w:r w:rsidRPr="00403E76">
        <w:rPr>
          <w:rFonts w:ascii="Arial" w:hAnsi="Arial" w:cs="Arial"/>
          <w:i/>
          <w:color w:val="000000"/>
          <w:sz w:val="20"/>
          <w:szCs w:val="20"/>
          <w:lang w:val="es-ES"/>
        </w:rPr>
        <w:t>Control previo al pago</w:t>
      </w:r>
    </w:p>
    <w:tbl>
      <w:tblPr>
        <w:tblW w:w="5000" w:type="pct"/>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2864"/>
        <w:gridCol w:w="2582"/>
        <w:gridCol w:w="3058"/>
      </w:tblGrid>
      <w:tr w:rsidR="00403E76" w:rsidRPr="00403E76" w14:paraId="3D7A138E" w14:textId="77777777" w:rsidTr="00D86494">
        <w:trPr>
          <w:trHeight w:val="672"/>
        </w:trPr>
        <w:tc>
          <w:tcPr>
            <w:tcW w:w="1684" w:type="pct"/>
            <w:tcBorders>
              <w:bottom w:val="single" w:sz="4" w:space="0" w:color="auto"/>
            </w:tcBorders>
            <w:shd w:val="clear" w:color="auto" w:fill="auto"/>
            <w:vAlign w:val="center"/>
          </w:tcPr>
          <w:p w14:paraId="7E99CF30" w14:textId="77777777" w:rsidR="00403E76" w:rsidRPr="00403E76" w:rsidRDefault="00403E76" w:rsidP="00403E76">
            <w:pPr>
              <w:widowControl w:val="0"/>
              <w:spacing w:after="0" w:line="276" w:lineRule="auto"/>
              <w:jc w:val="both"/>
              <w:rPr>
                <w:rFonts w:ascii="Arial" w:hAnsi="Arial" w:cs="Arial"/>
                <w:b/>
                <w:color w:val="000000"/>
                <w:sz w:val="20"/>
                <w:szCs w:val="20"/>
                <w:lang w:val="es-MX"/>
              </w:rPr>
            </w:pPr>
            <w:r w:rsidRPr="00403E76">
              <w:rPr>
                <w:rFonts w:ascii="Arial" w:hAnsi="Arial" w:cs="Arial"/>
                <w:b/>
                <w:color w:val="000000"/>
                <w:sz w:val="20"/>
                <w:szCs w:val="20"/>
                <w:lang w:val="es-MX"/>
              </w:rPr>
              <w:t>Proceso</w:t>
            </w:r>
          </w:p>
        </w:tc>
        <w:tc>
          <w:tcPr>
            <w:tcW w:w="1518" w:type="pct"/>
            <w:tcBorders>
              <w:bottom w:val="single" w:sz="4" w:space="0" w:color="auto"/>
            </w:tcBorders>
            <w:shd w:val="clear" w:color="auto" w:fill="auto"/>
            <w:vAlign w:val="center"/>
          </w:tcPr>
          <w:p w14:paraId="6DAE634A" w14:textId="77777777" w:rsidR="00403E76" w:rsidRPr="00403E76" w:rsidRDefault="00403E76" w:rsidP="00403E76">
            <w:pPr>
              <w:widowControl w:val="0"/>
              <w:spacing w:after="0" w:line="276" w:lineRule="auto"/>
              <w:jc w:val="both"/>
              <w:rPr>
                <w:rFonts w:ascii="Arial" w:hAnsi="Arial" w:cs="Arial"/>
                <w:b/>
                <w:color w:val="000000"/>
                <w:sz w:val="20"/>
                <w:szCs w:val="20"/>
                <w:lang w:val="es-MX"/>
              </w:rPr>
            </w:pPr>
            <w:r w:rsidRPr="00403E76">
              <w:rPr>
                <w:rFonts w:ascii="Arial" w:hAnsi="Arial" w:cs="Arial"/>
                <w:b/>
                <w:color w:val="000000"/>
                <w:sz w:val="20"/>
                <w:szCs w:val="20"/>
                <w:lang w:val="es-MX"/>
              </w:rPr>
              <w:t>Responsable</w:t>
            </w:r>
          </w:p>
        </w:tc>
        <w:tc>
          <w:tcPr>
            <w:tcW w:w="1798" w:type="pct"/>
            <w:tcBorders>
              <w:bottom w:val="single" w:sz="4" w:space="0" w:color="auto"/>
            </w:tcBorders>
            <w:shd w:val="clear" w:color="auto" w:fill="auto"/>
            <w:vAlign w:val="center"/>
          </w:tcPr>
          <w:p w14:paraId="5623FBA7" w14:textId="77777777" w:rsidR="00403E76" w:rsidRPr="00403E76" w:rsidRDefault="00403E76" w:rsidP="00403E76">
            <w:pPr>
              <w:widowControl w:val="0"/>
              <w:spacing w:after="0" w:line="276" w:lineRule="auto"/>
              <w:jc w:val="both"/>
              <w:rPr>
                <w:rFonts w:ascii="Arial" w:hAnsi="Arial" w:cs="Arial"/>
                <w:b/>
                <w:color w:val="000000"/>
                <w:sz w:val="20"/>
                <w:szCs w:val="20"/>
                <w:lang w:val="es-MX"/>
              </w:rPr>
            </w:pPr>
            <w:r w:rsidRPr="00403E76">
              <w:rPr>
                <w:rFonts w:ascii="Arial" w:hAnsi="Arial" w:cs="Arial"/>
                <w:b/>
                <w:color w:val="000000"/>
                <w:sz w:val="20"/>
                <w:szCs w:val="20"/>
                <w:lang w:val="es-MX"/>
              </w:rPr>
              <w:t>Función</w:t>
            </w:r>
          </w:p>
        </w:tc>
      </w:tr>
      <w:tr w:rsidR="00403E76" w:rsidRPr="00403E76" w14:paraId="3465B3C2" w14:textId="77777777" w:rsidTr="00D86494">
        <w:trPr>
          <w:trHeight w:val="1135"/>
        </w:trPr>
        <w:tc>
          <w:tcPr>
            <w:tcW w:w="1684" w:type="pct"/>
            <w:tcBorders>
              <w:bottom w:val="nil"/>
            </w:tcBorders>
            <w:shd w:val="clear" w:color="auto" w:fill="auto"/>
            <w:vAlign w:val="center"/>
            <w:hideMark/>
          </w:tcPr>
          <w:p w14:paraId="0F4CF8EB"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Solicitud de pago</w:t>
            </w:r>
          </w:p>
        </w:tc>
        <w:tc>
          <w:tcPr>
            <w:tcW w:w="1518" w:type="pct"/>
            <w:tcBorders>
              <w:bottom w:val="nil"/>
            </w:tcBorders>
            <w:shd w:val="clear" w:color="auto" w:fill="auto"/>
            <w:vAlign w:val="center"/>
            <w:hideMark/>
          </w:tcPr>
          <w:p w14:paraId="16F60A0B"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 xml:space="preserve">Administrador </w:t>
            </w:r>
          </w:p>
        </w:tc>
        <w:tc>
          <w:tcPr>
            <w:tcW w:w="1798" w:type="pct"/>
            <w:tcBorders>
              <w:bottom w:val="nil"/>
            </w:tcBorders>
            <w:shd w:val="clear" w:color="auto" w:fill="auto"/>
            <w:vAlign w:val="center"/>
            <w:hideMark/>
          </w:tcPr>
          <w:p w14:paraId="77EC0416"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El administrador de ínfima solicita el pago a la subgerencia financiera.</w:t>
            </w:r>
          </w:p>
        </w:tc>
      </w:tr>
      <w:tr w:rsidR="00403E76" w:rsidRPr="00403E76" w14:paraId="5DFAFE8B" w14:textId="77777777" w:rsidTr="00D86494">
        <w:trPr>
          <w:trHeight w:val="825"/>
        </w:trPr>
        <w:tc>
          <w:tcPr>
            <w:tcW w:w="1684" w:type="pct"/>
            <w:tcBorders>
              <w:top w:val="nil"/>
              <w:bottom w:val="nil"/>
            </w:tcBorders>
            <w:shd w:val="clear" w:color="auto" w:fill="auto"/>
            <w:vAlign w:val="center"/>
            <w:hideMark/>
          </w:tcPr>
          <w:p w14:paraId="3CADE561"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Asiento contable</w:t>
            </w:r>
          </w:p>
        </w:tc>
        <w:tc>
          <w:tcPr>
            <w:tcW w:w="1518" w:type="pct"/>
            <w:tcBorders>
              <w:top w:val="nil"/>
              <w:bottom w:val="nil"/>
            </w:tcBorders>
            <w:shd w:val="clear" w:color="auto" w:fill="auto"/>
            <w:vAlign w:val="center"/>
            <w:hideMark/>
          </w:tcPr>
          <w:p w14:paraId="76459426"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Jefe contable</w:t>
            </w:r>
            <w:r w:rsidRPr="00403E76">
              <w:rPr>
                <w:rFonts w:ascii="Arial" w:hAnsi="Arial" w:cs="Arial"/>
                <w:color w:val="000000"/>
                <w:sz w:val="20"/>
                <w:szCs w:val="20"/>
                <w:lang w:val="es-MX"/>
              </w:rPr>
              <w:br/>
              <w:t>vinculada en la solicitud de pago (SOLPAG)</w:t>
            </w:r>
          </w:p>
        </w:tc>
        <w:tc>
          <w:tcPr>
            <w:tcW w:w="1798" w:type="pct"/>
            <w:tcBorders>
              <w:top w:val="nil"/>
              <w:bottom w:val="nil"/>
            </w:tcBorders>
            <w:shd w:val="clear" w:color="auto" w:fill="auto"/>
            <w:vAlign w:val="center"/>
            <w:hideMark/>
          </w:tcPr>
          <w:p w14:paraId="665174CE"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El jefe de contabilidad coordinará con el personal a su cargo el control previo al devengado y el registro contable del proceso.</w:t>
            </w:r>
          </w:p>
        </w:tc>
      </w:tr>
      <w:tr w:rsidR="00403E76" w:rsidRPr="00403E76" w14:paraId="2108613A" w14:textId="77777777" w:rsidTr="00D86494">
        <w:trPr>
          <w:trHeight w:val="1320"/>
        </w:trPr>
        <w:tc>
          <w:tcPr>
            <w:tcW w:w="1684" w:type="pct"/>
            <w:tcBorders>
              <w:top w:val="nil"/>
              <w:bottom w:val="nil"/>
            </w:tcBorders>
            <w:shd w:val="clear" w:color="auto" w:fill="auto"/>
            <w:noWrap/>
            <w:vAlign w:val="center"/>
            <w:hideMark/>
          </w:tcPr>
          <w:p w14:paraId="0103F012"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lastRenderedPageBreak/>
              <w:t>Comprobante de pago</w:t>
            </w:r>
          </w:p>
        </w:tc>
        <w:tc>
          <w:tcPr>
            <w:tcW w:w="1518" w:type="pct"/>
            <w:tcBorders>
              <w:top w:val="nil"/>
              <w:bottom w:val="nil"/>
            </w:tcBorders>
            <w:shd w:val="clear" w:color="auto" w:fill="auto"/>
            <w:vAlign w:val="center"/>
            <w:hideMark/>
          </w:tcPr>
          <w:p w14:paraId="0F1D804A"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Jefe tesorería</w:t>
            </w:r>
            <w:r w:rsidRPr="00403E76">
              <w:rPr>
                <w:rFonts w:ascii="Arial" w:hAnsi="Arial" w:cs="Arial"/>
                <w:color w:val="000000"/>
                <w:sz w:val="20"/>
                <w:szCs w:val="20"/>
                <w:lang w:val="es-MX"/>
              </w:rPr>
              <w:br/>
              <w:t>vinculada en SOLPAG</w:t>
            </w:r>
          </w:p>
        </w:tc>
        <w:tc>
          <w:tcPr>
            <w:tcW w:w="1798" w:type="pct"/>
            <w:tcBorders>
              <w:top w:val="nil"/>
              <w:bottom w:val="nil"/>
            </w:tcBorders>
            <w:shd w:val="clear" w:color="auto" w:fill="auto"/>
            <w:vAlign w:val="center"/>
            <w:hideMark/>
          </w:tcPr>
          <w:p w14:paraId="79CF4EA1"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El jefe de tesorería coordinará con el personal a su cargo el control previo al pago y la transferencia al proveedor.</w:t>
            </w:r>
          </w:p>
        </w:tc>
      </w:tr>
      <w:tr w:rsidR="00403E76" w:rsidRPr="00403E76" w14:paraId="208FDD4A" w14:textId="77777777" w:rsidTr="00D86494">
        <w:trPr>
          <w:trHeight w:val="1020"/>
        </w:trPr>
        <w:tc>
          <w:tcPr>
            <w:tcW w:w="1684" w:type="pct"/>
            <w:tcBorders>
              <w:top w:val="nil"/>
            </w:tcBorders>
            <w:shd w:val="clear" w:color="auto" w:fill="auto"/>
            <w:vAlign w:val="center"/>
            <w:hideMark/>
          </w:tcPr>
          <w:p w14:paraId="5986AB23"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Otros habilitantes de pago particulares a la contratación, cuando aplique</w:t>
            </w:r>
          </w:p>
        </w:tc>
        <w:tc>
          <w:tcPr>
            <w:tcW w:w="1518" w:type="pct"/>
            <w:tcBorders>
              <w:top w:val="nil"/>
            </w:tcBorders>
            <w:shd w:val="clear" w:color="auto" w:fill="auto"/>
            <w:vAlign w:val="center"/>
            <w:hideMark/>
          </w:tcPr>
          <w:p w14:paraId="1E6038FB"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Administrador</w:t>
            </w:r>
            <w:r w:rsidRPr="00403E76">
              <w:rPr>
                <w:rFonts w:ascii="Arial" w:hAnsi="Arial" w:cs="Arial"/>
                <w:color w:val="000000"/>
                <w:sz w:val="20"/>
                <w:szCs w:val="20"/>
                <w:lang w:val="es-MX"/>
              </w:rPr>
              <w:br/>
              <w:t>vinculada en SOLPAG</w:t>
            </w:r>
          </w:p>
        </w:tc>
        <w:tc>
          <w:tcPr>
            <w:tcW w:w="1798" w:type="pct"/>
            <w:tcBorders>
              <w:top w:val="nil"/>
            </w:tcBorders>
            <w:shd w:val="clear" w:color="auto" w:fill="auto"/>
            <w:vAlign w:val="center"/>
            <w:hideMark/>
          </w:tcPr>
          <w:p w14:paraId="6C76B1CC" w14:textId="77777777" w:rsidR="00403E76" w:rsidRPr="00403E76" w:rsidRDefault="00403E76" w:rsidP="00403E76">
            <w:pPr>
              <w:widowControl w:val="0"/>
              <w:spacing w:after="0" w:line="276" w:lineRule="auto"/>
              <w:jc w:val="both"/>
              <w:rPr>
                <w:rFonts w:ascii="Arial" w:hAnsi="Arial" w:cs="Arial"/>
                <w:color w:val="000000"/>
                <w:sz w:val="20"/>
                <w:szCs w:val="20"/>
                <w:lang w:val="es-MX"/>
              </w:rPr>
            </w:pPr>
            <w:r w:rsidRPr="00403E76">
              <w:rPr>
                <w:rFonts w:ascii="Arial" w:hAnsi="Arial" w:cs="Arial"/>
                <w:color w:val="000000"/>
                <w:sz w:val="20"/>
                <w:szCs w:val="20"/>
                <w:lang w:val="es-MX"/>
              </w:rPr>
              <w:t>Establecidos en las cláusulas de forma de pago, plazos, prórrogas, multas, o los que despliegue el Sistema de Información y Seguimiento de Proceso Automatizados y Controlados (SISPAC).</w:t>
            </w:r>
          </w:p>
        </w:tc>
      </w:tr>
    </w:tbl>
    <w:p w14:paraId="29EBC7A4" w14:textId="6FD9AC0F" w:rsidR="00403E76" w:rsidRDefault="00403E76" w:rsidP="00403E76">
      <w:pPr>
        <w:widowControl w:val="0"/>
        <w:spacing w:after="0" w:line="276" w:lineRule="auto"/>
        <w:jc w:val="both"/>
        <w:rPr>
          <w:rFonts w:ascii="Arial" w:hAnsi="Arial" w:cs="Arial"/>
          <w:bCs/>
          <w:i/>
          <w:color w:val="000000"/>
          <w:sz w:val="20"/>
          <w:szCs w:val="20"/>
          <w:lang w:val="es-MX"/>
        </w:rPr>
      </w:pPr>
      <w:r w:rsidRPr="00403E76">
        <w:rPr>
          <w:rFonts w:ascii="Arial" w:hAnsi="Arial" w:cs="Arial"/>
          <w:bCs/>
          <w:i/>
          <w:color w:val="000000"/>
          <w:sz w:val="20"/>
          <w:szCs w:val="20"/>
          <w:lang w:val="es-MX"/>
        </w:rPr>
        <w:t>Nota. Información obtenida mediante revisión documental, extraída de la Corporación Eléctrica del Ecuador, Unidad de Negocio TERMOMANABÍ. Elaborado por: Autoras de la investigación.</w:t>
      </w:r>
    </w:p>
    <w:p w14:paraId="0CAAAB65" w14:textId="77777777" w:rsidR="00403E76" w:rsidRPr="00403E76" w:rsidRDefault="00403E76" w:rsidP="00403E76">
      <w:pPr>
        <w:widowControl w:val="0"/>
        <w:spacing w:after="0" w:line="276" w:lineRule="auto"/>
        <w:jc w:val="both"/>
        <w:rPr>
          <w:rFonts w:ascii="Arial" w:hAnsi="Arial" w:cs="Arial"/>
          <w:bCs/>
          <w:i/>
          <w:color w:val="000000"/>
          <w:sz w:val="20"/>
          <w:szCs w:val="20"/>
          <w:lang w:val="es-MX"/>
        </w:rPr>
      </w:pPr>
    </w:p>
    <w:p w14:paraId="5D6AA242" w14:textId="77777777" w:rsidR="00403E76" w:rsidRPr="00403E76" w:rsidRDefault="00403E76" w:rsidP="00403E76">
      <w:pPr>
        <w:spacing w:before="240" w:line="276" w:lineRule="auto"/>
        <w:jc w:val="both"/>
        <w:rPr>
          <w:rFonts w:ascii="Arial" w:hAnsi="Arial" w:cs="Arial"/>
          <w:i/>
          <w:sz w:val="20"/>
          <w:szCs w:val="20"/>
          <w:lang w:val="es-MX"/>
        </w:rPr>
        <w:sectPr w:rsidR="00403E76" w:rsidRPr="00403E76" w:rsidSect="00403E76">
          <w:type w:val="continuous"/>
          <w:pgSz w:w="11906" w:h="16838"/>
          <w:pgMar w:top="1417" w:right="1701" w:bottom="1417" w:left="1701" w:header="708" w:footer="708" w:gutter="0"/>
          <w:cols w:space="708"/>
          <w:docGrid w:linePitch="360"/>
        </w:sectPr>
      </w:pPr>
    </w:p>
    <w:p w14:paraId="501816BA"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La tabla 1, indica que el proceso de pago inicia con la solicitud que debe ser realizada por el administrador del contrato a la subgerencia financiera en base a lo estipulado en el Art. 14 del Reglamento General de la Ley Orgánica Sistema Nacional de Contratación Pública (LOSNCP), que detalla la documentación relevante que debe respaldar el proceso de contratación en las fases preparatoria, precontractual, contractual, de ejecución o de evaluación para su posterior pago. Así también, deberá considerar los procedimientos internos para la gestión de cuentas por pagar: 6.3 Generar solicitud de pago y 6.5 suscribir solicitud de pago, emitidos por la Corporación Eléctrica del Ecuador (CELEC EP). </w:t>
      </w:r>
    </w:p>
    <w:p w14:paraId="472CACD8"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El jefe contable es el encargado de coordinar con el personal a su cargo </w:t>
      </w:r>
      <w:r w:rsidRPr="00403E76">
        <w:rPr>
          <w:rFonts w:ascii="Arial" w:hAnsi="Arial" w:cs="Arial"/>
          <w:sz w:val="24"/>
          <w:szCs w:val="24"/>
        </w:rPr>
        <w:t>el control previo al devengado y el registro contable del proceso, en cumplimiento del procedimiento para la gestión de cuentas por pagar 6.8 Registro de asiento contable y 6.9 Aprobar control al devengado. Por otra parte, el jefe de tesorería se encarga de coordinar con el personal a su cargo el control previo al pago y la transferencia al proveedor, considerando los lineamientos estipulados en el Reglamento de la LOSNCP Art. 14 sobre documentos relevantes, también deberá hacerlo mediante lo establecido el procedimiento para la gestión de cuentas por pagar apartado 6.4 Realizar el control al pago, 6.11 Aprobar el control previo al pago, 6.12 Revisar, Autorizar-Suscribir orden de pago, 6.13 Efectuar pago-suscribir orden de pago y 6.14 Pago realizado.</w:t>
      </w:r>
    </w:p>
    <w:p w14:paraId="17EFBB0E"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lastRenderedPageBreak/>
        <w:t xml:space="preserve">Otros habilitantes de pago particulares a la contratación, en los casos que apliquen, el administrador vinculado con la solicitud de pago, establecidos en las cláusulas de forma de pago, plazos, prórrogas, multas, o los que despliegue el SISPAC para pago de ínfimas cuantías, conforme los procedimientos para la gestión de cuentas por pagar, el tipo de pago y </w:t>
      </w:r>
      <w:r w:rsidRPr="00403E76">
        <w:rPr>
          <w:rFonts w:ascii="Arial" w:hAnsi="Arial" w:cs="Arial"/>
          <w:sz w:val="24"/>
          <w:szCs w:val="24"/>
        </w:rPr>
        <w:t>documentos habilitantes -ínfima cuantía.</w:t>
      </w:r>
    </w:p>
    <w:p w14:paraId="57C86294" w14:textId="62E7C0BB" w:rsid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En el diagnóstico efectuado a una muestra de 20 contratos realizados por la Corporación Eléctrica del Ecuador, Unidad de Negocio Termo Manabí, se identificaron los principales errores que presentaron los proveedores y que detienen el proceso en el área de tesorería.</w:t>
      </w:r>
    </w:p>
    <w:p w14:paraId="29E6BFFC" w14:textId="77777777" w:rsidR="00403E76" w:rsidRDefault="00403E76" w:rsidP="00403E76">
      <w:pPr>
        <w:spacing w:before="240" w:line="360" w:lineRule="auto"/>
        <w:jc w:val="both"/>
        <w:rPr>
          <w:rFonts w:ascii="Arial" w:hAnsi="Arial" w:cs="Arial"/>
          <w:sz w:val="24"/>
          <w:szCs w:val="24"/>
        </w:rPr>
        <w:sectPr w:rsidR="00403E76" w:rsidSect="00330E16">
          <w:type w:val="continuous"/>
          <w:pgSz w:w="11906" w:h="16838"/>
          <w:pgMar w:top="1417" w:right="1701" w:bottom="1417" w:left="1701" w:header="708" w:footer="708" w:gutter="0"/>
          <w:cols w:num="2" w:space="708"/>
          <w:docGrid w:linePitch="360"/>
        </w:sectPr>
      </w:pPr>
    </w:p>
    <w:p w14:paraId="30DE5E62" w14:textId="3D1C896F" w:rsidR="00403E76" w:rsidRPr="00403E76" w:rsidRDefault="00403E76" w:rsidP="00403E76">
      <w:pPr>
        <w:widowControl w:val="0"/>
        <w:spacing w:after="0" w:line="276" w:lineRule="auto"/>
        <w:jc w:val="center"/>
        <w:rPr>
          <w:rFonts w:ascii="Arial" w:hAnsi="Arial" w:cs="Arial"/>
          <w:b/>
          <w:bCs/>
          <w:i/>
          <w:iCs/>
          <w:color w:val="000000"/>
          <w:sz w:val="20"/>
          <w:szCs w:val="20"/>
        </w:rPr>
      </w:pPr>
      <w:r w:rsidRPr="00403E76">
        <w:rPr>
          <w:rFonts w:ascii="Arial" w:hAnsi="Arial" w:cs="Arial"/>
          <w:b/>
          <w:bCs/>
          <w:i/>
          <w:iCs/>
          <w:color w:val="000000"/>
          <w:sz w:val="20"/>
          <w:szCs w:val="20"/>
        </w:rPr>
        <w:t xml:space="preserve">Tabla </w:t>
      </w:r>
      <w:r w:rsidRPr="00403E76">
        <w:rPr>
          <w:rFonts w:ascii="Arial" w:hAnsi="Arial" w:cs="Arial"/>
          <w:b/>
          <w:bCs/>
          <w:i/>
          <w:iCs/>
          <w:color w:val="000000"/>
          <w:sz w:val="20"/>
          <w:szCs w:val="20"/>
        </w:rPr>
        <w:fldChar w:fldCharType="begin"/>
      </w:r>
      <w:r w:rsidRPr="00403E76">
        <w:rPr>
          <w:rFonts w:ascii="Arial" w:hAnsi="Arial" w:cs="Arial"/>
          <w:b/>
          <w:bCs/>
          <w:i/>
          <w:iCs/>
          <w:color w:val="000000"/>
          <w:sz w:val="20"/>
          <w:szCs w:val="20"/>
        </w:rPr>
        <w:instrText xml:space="preserve"> SEQ Tabla \* ARABIC </w:instrText>
      </w:r>
      <w:r w:rsidRPr="00403E76">
        <w:rPr>
          <w:rFonts w:ascii="Arial" w:hAnsi="Arial" w:cs="Arial"/>
          <w:b/>
          <w:bCs/>
          <w:i/>
          <w:iCs/>
          <w:color w:val="000000"/>
          <w:sz w:val="20"/>
          <w:szCs w:val="20"/>
        </w:rPr>
        <w:fldChar w:fldCharType="separate"/>
      </w:r>
      <w:r w:rsidR="00F96511">
        <w:rPr>
          <w:rFonts w:ascii="Arial" w:hAnsi="Arial" w:cs="Arial"/>
          <w:b/>
          <w:bCs/>
          <w:i/>
          <w:iCs/>
          <w:noProof/>
          <w:color w:val="000000"/>
          <w:sz w:val="20"/>
          <w:szCs w:val="20"/>
        </w:rPr>
        <w:t>2</w:t>
      </w:r>
      <w:r w:rsidRPr="00403E76">
        <w:rPr>
          <w:rFonts w:ascii="Arial" w:hAnsi="Arial" w:cs="Arial"/>
          <w:i/>
          <w:iCs/>
          <w:color w:val="000000"/>
          <w:sz w:val="20"/>
          <w:szCs w:val="20"/>
        </w:rPr>
        <w:fldChar w:fldCharType="end"/>
      </w:r>
      <w:r w:rsidRPr="00403E76">
        <w:rPr>
          <w:rFonts w:ascii="Arial" w:hAnsi="Arial" w:cs="Arial"/>
          <w:b/>
          <w:bCs/>
          <w:i/>
          <w:iCs/>
          <w:color w:val="000000"/>
          <w:sz w:val="20"/>
          <w:szCs w:val="20"/>
        </w:rPr>
        <w:t xml:space="preserve">. </w:t>
      </w:r>
      <w:r w:rsidRPr="00403E76">
        <w:rPr>
          <w:rFonts w:ascii="Arial" w:hAnsi="Arial" w:cs="Arial"/>
          <w:i/>
          <w:iCs/>
          <w:color w:val="000000"/>
          <w:sz w:val="20"/>
          <w:szCs w:val="20"/>
        </w:rPr>
        <w:t>Errores identificados en el proceso previo al pago</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7266"/>
        <w:gridCol w:w="1238"/>
      </w:tblGrid>
      <w:tr w:rsidR="00403E76" w:rsidRPr="00403E76" w14:paraId="7AE657E6" w14:textId="77777777" w:rsidTr="00D86494">
        <w:trPr>
          <w:trHeight w:val="315"/>
        </w:trPr>
        <w:tc>
          <w:tcPr>
            <w:tcW w:w="4272" w:type="pct"/>
            <w:tcBorders>
              <w:top w:val="single" w:sz="4" w:space="0" w:color="auto"/>
              <w:bottom w:val="single" w:sz="4" w:space="0" w:color="auto"/>
            </w:tcBorders>
            <w:shd w:val="clear" w:color="auto" w:fill="auto"/>
            <w:noWrap/>
            <w:vAlign w:val="bottom"/>
            <w:hideMark/>
          </w:tcPr>
          <w:p w14:paraId="5DD7A027" w14:textId="77777777" w:rsidR="00403E76" w:rsidRPr="00403E76" w:rsidRDefault="00403E76" w:rsidP="00403E76">
            <w:pPr>
              <w:widowControl w:val="0"/>
              <w:spacing w:after="0" w:line="276" w:lineRule="auto"/>
              <w:jc w:val="both"/>
              <w:rPr>
                <w:rFonts w:ascii="Arial" w:hAnsi="Arial" w:cs="Arial"/>
                <w:b/>
                <w:bCs/>
                <w:color w:val="000000"/>
                <w:sz w:val="20"/>
                <w:szCs w:val="20"/>
              </w:rPr>
            </w:pPr>
            <w:r w:rsidRPr="00403E76">
              <w:rPr>
                <w:rFonts w:ascii="Arial" w:hAnsi="Arial" w:cs="Arial"/>
                <w:b/>
                <w:bCs/>
                <w:color w:val="000000"/>
                <w:sz w:val="20"/>
                <w:szCs w:val="20"/>
              </w:rPr>
              <w:t>Errores</w:t>
            </w:r>
          </w:p>
        </w:tc>
        <w:tc>
          <w:tcPr>
            <w:tcW w:w="728" w:type="pct"/>
            <w:tcBorders>
              <w:top w:val="single" w:sz="4" w:space="0" w:color="auto"/>
              <w:bottom w:val="single" w:sz="4" w:space="0" w:color="auto"/>
            </w:tcBorders>
            <w:shd w:val="clear" w:color="auto" w:fill="auto"/>
            <w:noWrap/>
            <w:vAlign w:val="center"/>
            <w:hideMark/>
          </w:tcPr>
          <w:p w14:paraId="3427EE1B" w14:textId="77777777" w:rsidR="00403E76" w:rsidRPr="00403E76" w:rsidRDefault="00403E76" w:rsidP="00403E76">
            <w:pPr>
              <w:widowControl w:val="0"/>
              <w:spacing w:after="0" w:line="276" w:lineRule="auto"/>
              <w:jc w:val="both"/>
              <w:rPr>
                <w:rFonts w:ascii="Arial" w:hAnsi="Arial" w:cs="Arial"/>
                <w:b/>
                <w:bCs/>
                <w:color w:val="000000"/>
                <w:sz w:val="20"/>
                <w:szCs w:val="20"/>
              </w:rPr>
            </w:pPr>
            <w:r w:rsidRPr="00403E76">
              <w:rPr>
                <w:rFonts w:ascii="Arial" w:hAnsi="Arial" w:cs="Arial"/>
                <w:b/>
                <w:bCs/>
                <w:color w:val="000000"/>
                <w:sz w:val="20"/>
                <w:szCs w:val="20"/>
              </w:rPr>
              <w:t>%</w:t>
            </w:r>
          </w:p>
        </w:tc>
      </w:tr>
      <w:tr w:rsidR="00403E76" w:rsidRPr="00403E76" w14:paraId="61310BC7" w14:textId="77777777" w:rsidTr="00D86494">
        <w:trPr>
          <w:trHeight w:val="359"/>
        </w:trPr>
        <w:tc>
          <w:tcPr>
            <w:tcW w:w="4272" w:type="pct"/>
            <w:tcBorders>
              <w:top w:val="single" w:sz="4" w:space="0" w:color="auto"/>
            </w:tcBorders>
            <w:shd w:val="clear" w:color="auto" w:fill="auto"/>
            <w:vAlign w:val="bottom"/>
            <w:hideMark/>
          </w:tcPr>
          <w:p w14:paraId="71C70771"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informe del administrador en la orden de compra</w:t>
            </w:r>
          </w:p>
        </w:tc>
        <w:tc>
          <w:tcPr>
            <w:tcW w:w="728" w:type="pct"/>
            <w:tcBorders>
              <w:top w:val="single" w:sz="4" w:space="0" w:color="auto"/>
            </w:tcBorders>
            <w:shd w:val="clear" w:color="auto" w:fill="auto"/>
            <w:noWrap/>
            <w:vAlign w:val="bottom"/>
            <w:hideMark/>
          </w:tcPr>
          <w:p w14:paraId="7B7561AC"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w:t>
            </w:r>
          </w:p>
        </w:tc>
      </w:tr>
      <w:tr w:rsidR="00403E76" w:rsidRPr="00403E76" w14:paraId="238C0DD4" w14:textId="77777777" w:rsidTr="00D86494">
        <w:trPr>
          <w:trHeight w:val="315"/>
        </w:trPr>
        <w:tc>
          <w:tcPr>
            <w:tcW w:w="4272" w:type="pct"/>
            <w:shd w:val="clear" w:color="auto" w:fill="auto"/>
            <w:vAlign w:val="bottom"/>
            <w:hideMark/>
          </w:tcPr>
          <w:p w14:paraId="319DBAB8"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firma del proveedor en el acta entrega</w:t>
            </w:r>
          </w:p>
        </w:tc>
        <w:tc>
          <w:tcPr>
            <w:tcW w:w="728" w:type="pct"/>
            <w:shd w:val="clear" w:color="auto" w:fill="auto"/>
            <w:noWrap/>
            <w:vAlign w:val="bottom"/>
            <w:hideMark/>
          </w:tcPr>
          <w:p w14:paraId="0B10EE21"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15%</w:t>
            </w:r>
          </w:p>
        </w:tc>
      </w:tr>
      <w:tr w:rsidR="00403E76" w:rsidRPr="00403E76" w14:paraId="5C32B805" w14:textId="77777777" w:rsidTr="00D86494">
        <w:trPr>
          <w:trHeight w:val="678"/>
        </w:trPr>
        <w:tc>
          <w:tcPr>
            <w:tcW w:w="4272" w:type="pct"/>
            <w:shd w:val="clear" w:color="auto" w:fill="auto"/>
            <w:vAlign w:val="bottom"/>
            <w:hideMark/>
          </w:tcPr>
          <w:p w14:paraId="4EFB4D70"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certificado de cumplimiento de obligaciones patronales y roles de pago de empleados</w:t>
            </w:r>
          </w:p>
        </w:tc>
        <w:tc>
          <w:tcPr>
            <w:tcW w:w="728" w:type="pct"/>
            <w:shd w:val="clear" w:color="auto" w:fill="auto"/>
            <w:noWrap/>
            <w:vAlign w:val="bottom"/>
            <w:hideMark/>
          </w:tcPr>
          <w:p w14:paraId="19D6B036"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15%</w:t>
            </w:r>
          </w:p>
        </w:tc>
      </w:tr>
      <w:tr w:rsidR="00403E76" w:rsidRPr="00403E76" w14:paraId="12E4CAC2" w14:textId="77777777" w:rsidTr="00D86494">
        <w:trPr>
          <w:trHeight w:val="432"/>
        </w:trPr>
        <w:tc>
          <w:tcPr>
            <w:tcW w:w="4272" w:type="pct"/>
            <w:shd w:val="clear" w:color="auto" w:fill="auto"/>
            <w:vAlign w:val="bottom"/>
            <w:hideMark/>
          </w:tcPr>
          <w:p w14:paraId="20CA7EB2"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firma de recibido a satisfacción</w:t>
            </w:r>
          </w:p>
        </w:tc>
        <w:tc>
          <w:tcPr>
            <w:tcW w:w="728" w:type="pct"/>
            <w:shd w:val="clear" w:color="auto" w:fill="auto"/>
            <w:noWrap/>
            <w:vAlign w:val="bottom"/>
            <w:hideMark/>
          </w:tcPr>
          <w:p w14:paraId="136B3534"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w:t>
            </w:r>
          </w:p>
        </w:tc>
      </w:tr>
      <w:tr w:rsidR="00403E76" w:rsidRPr="00403E76" w14:paraId="01F00756" w14:textId="77777777" w:rsidTr="00D86494">
        <w:trPr>
          <w:trHeight w:val="630"/>
        </w:trPr>
        <w:tc>
          <w:tcPr>
            <w:tcW w:w="4272" w:type="pct"/>
            <w:shd w:val="clear" w:color="auto" w:fill="auto"/>
            <w:vAlign w:val="bottom"/>
            <w:hideMark/>
          </w:tcPr>
          <w:p w14:paraId="6E433729"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Fecha del acta entrega recepción parcial y del informe del administrador no concuerdan</w:t>
            </w:r>
          </w:p>
        </w:tc>
        <w:tc>
          <w:tcPr>
            <w:tcW w:w="728" w:type="pct"/>
            <w:shd w:val="clear" w:color="auto" w:fill="auto"/>
            <w:noWrap/>
            <w:vAlign w:val="bottom"/>
            <w:hideMark/>
          </w:tcPr>
          <w:p w14:paraId="23A81310"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5%</w:t>
            </w:r>
          </w:p>
        </w:tc>
      </w:tr>
      <w:tr w:rsidR="00403E76" w:rsidRPr="00403E76" w14:paraId="4B1A971C" w14:textId="77777777" w:rsidTr="00D86494">
        <w:trPr>
          <w:trHeight w:val="657"/>
        </w:trPr>
        <w:tc>
          <w:tcPr>
            <w:tcW w:w="4272" w:type="pct"/>
            <w:shd w:val="clear" w:color="auto" w:fill="auto"/>
            <w:vAlign w:val="bottom"/>
            <w:hideMark/>
          </w:tcPr>
          <w:p w14:paraId="70561C65"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Información de los empleados incompleta en el certificado de cumplimiento del IESS</w:t>
            </w:r>
          </w:p>
        </w:tc>
        <w:tc>
          <w:tcPr>
            <w:tcW w:w="728" w:type="pct"/>
            <w:shd w:val="clear" w:color="auto" w:fill="auto"/>
            <w:noWrap/>
            <w:vAlign w:val="bottom"/>
            <w:hideMark/>
          </w:tcPr>
          <w:p w14:paraId="328C4AB4"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w:t>
            </w:r>
          </w:p>
        </w:tc>
      </w:tr>
      <w:tr w:rsidR="00403E76" w:rsidRPr="00403E76" w14:paraId="2113EC3E" w14:textId="77777777" w:rsidTr="00D86494">
        <w:trPr>
          <w:trHeight w:val="385"/>
        </w:trPr>
        <w:tc>
          <w:tcPr>
            <w:tcW w:w="4272" w:type="pct"/>
            <w:shd w:val="clear" w:color="auto" w:fill="auto"/>
            <w:vAlign w:val="bottom"/>
            <w:hideMark/>
          </w:tcPr>
          <w:p w14:paraId="5623DE18"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Sumatoria del pedido no coincide con informe del administrador</w:t>
            </w:r>
          </w:p>
        </w:tc>
        <w:tc>
          <w:tcPr>
            <w:tcW w:w="728" w:type="pct"/>
            <w:shd w:val="clear" w:color="auto" w:fill="auto"/>
            <w:noWrap/>
            <w:vAlign w:val="bottom"/>
            <w:hideMark/>
          </w:tcPr>
          <w:p w14:paraId="390C1F27"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5%</w:t>
            </w:r>
          </w:p>
        </w:tc>
      </w:tr>
      <w:tr w:rsidR="00403E76" w:rsidRPr="00403E76" w14:paraId="19BFECEB" w14:textId="77777777" w:rsidTr="00D86494">
        <w:trPr>
          <w:trHeight w:val="315"/>
        </w:trPr>
        <w:tc>
          <w:tcPr>
            <w:tcW w:w="4272" w:type="pct"/>
            <w:shd w:val="clear" w:color="auto" w:fill="auto"/>
            <w:vAlign w:val="bottom"/>
            <w:hideMark/>
          </w:tcPr>
          <w:p w14:paraId="145ACE88"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 xml:space="preserve">Falta certificado bancario del proveedor </w:t>
            </w:r>
          </w:p>
        </w:tc>
        <w:tc>
          <w:tcPr>
            <w:tcW w:w="728" w:type="pct"/>
            <w:shd w:val="clear" w:color="auto" w:fill="auto"/>
            <w:noWrap/>
            <w:vAlign w:val="bottom"/>
            <w:hideMark/>
          </w:tcPr>
          <w:p w14:paraId="7AB2003C"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5%</w:t>
            </w:r>
          </w:p>
        </w:tc>
      </w:tr>
      <w:tr w:rsidR="00403E76" w:rsidRPr="00403E76" w14:paraId="2DAC2D69" w14:textId="77777777" w:rsidTr="00D86494">
        <w:trPr>
          <w:trHeight w:val="315"/>
        </w:trPr>
        <w:tc>
          <w:tcPr>
            <w:tcW w:w="4272" w:type="pct"/>
            <w:shd w:val="clear" w:color="auto" w:fill="auto"/>
            <w:vAlign w:val="bottom"/>
            <w:hideMark/>
          </w:tcPr>
          <w:p w14:paraId="72F0B53B"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informe de los delegados técnicos</w:t>
            </w:r>
          </w:p>
        </w:tc>
        <w:tc>
          <w:tcPr>
            <w:tcW w:w="728" w:type="pct"/>
            <w:shd w:val="clear" w:color="auto" w:fill="auto"/>
            <w:noWrap/>
            <w:vAlign w:val="bottom"/>
            <w:hideMark/>
          </w:tcPr>
          <w:p w14:paraId="17658BAD"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w:t>
            </w:r>
          </w:p>
        </w:tc>
      </w:tr>
      <w:tr w:rsidR="00403E76" w:rsidRPr="00403E76" w14:paraId="54769657" w14:textId="77777777" w:rsidTr="00D86494">
        <w:trPr>
          <w:trHeight w:val="630"/>
        </w:trPr>
        <w:tc>
          <w:tcPr>
            <w:tcW w:w="4272" w:type="pct"/>
            <w:shd w:val="clear" w:color="auto" w:fill="auto"/>
            <w:vAlign w:val="bottom"/>
            <w:hideMark/>
          </w:tcPr>
          <w:p w14:paraId="4156EC83"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El informe del administrador no hace referencia a la liquidación económica</w:t>
            </w:r>
          </w:p>
        </w:tc>
        <w:tc>
          <w:tcPr>
            <w:tcW w:w="728" w:type="pct"/>
            <w:shd w:val="clear" w:color="auto" w:fill="auto"/>
            <w:noWrap/>
            <w:vAlign w:val="bottom"/>
            <w:hideMark/>
          </w:tcPr>
          <w:p w14:paraId="3EBC2F7D"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5%</w:t>
            </w:r>
          </w:p>
        </w:tc>
      </w:tr>
      <w:tr w:rsidR="00403E76" w:rsidRPr="00403E76" w14:paraId="4871A464" w14:textId="77777777" w:rsidTr="00D86494">
        <w:trPr>
          <w:trHeight w:val="315"/>
        </w:trPr>
        <w:tc>
          <w:tcPr>
            <w:tcW w:w="4272" w:type="pct"/>
            <w:tcBorders>
              <w:bottom w:val="single" w:sz="4" w:space="0" w:color="auto"/>
            </w:tcBorders>
            <w:shd w:val="clear" w:color="auto" w:fill="auto"/>
            <w:vAlign w:val="bottom"/>
            <w:hideMark/>
          </w:tcPr>
          <w:p w14:paraId="64726FD4"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Falta de firmas en el informe del administrador</w:t>
            </w:r>
          </w:p>
        </w:tc>
        <w:tc>
          <w:tcPr>
            <w:tcW w:w="728" w:type="pct"/>
            <w:tcBorders>
              <w:bottom w:val="single" w:sz="4" w:space="0" w:color="auto"/>
            </w:tcBorders>
            <w:shd w:val="clear" w:color="auto" w:fill="auto"/>
            <w:noWrap/>
            <w:vAlign w:val="bottom"/>
            <w:hideMark/>
          </w:tcPr>
          <w:p w14:paraId="15390B42"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w:t>
            </w:r>
          </w:p>
        </w:tc>
      </w:tr>
      <w:tr w:rsidR="00403E76" w:rsidRPr="00403E76" w14:paraId="54FE1194" w14:textId="77777777" w:rsidTr="00D86494">
        <w:trPr>
          <w:trHeight w:val="315"/>
        </w:trPr>
        <w:tc>
          <w:tcPr>
            <w:tcW w:w="4272" w:type="pct"/>
            <w:tcBorders>
              <w:top w:val="single" w:sz="4" w:space="0" w:color="auto"/>
              <w:bottom w:val="single" w:sz="4" w:space="0" w:color="auto"/>
            </w:tcBorders>
            <w:shd w:val="clear" w:color="auto" w:fill="auto"/>
            <w:noWrap/>
            <w:vAlign w:val="bottom"/>
            <w:hideMark/>
          </w:tcPr>
          <w:p w14:paraId="4ABC59C2" w14:textId="77777777" w:rsidR="00403E76" w:rsidRPr="00403E76" w:rsidRDefault="00403E76" w:rsidP="00403E76">
            <w:pPr>
              <w:widowControl w:val="0"/>
              <w:spacing w:after="0" w:line="276" w:lineRule="auto"/>
              <w:jc w:val="both"/>
              <w:rPr>
                <w:rFonts w:ascii="Arial" w:hAnsi="Arial" w:cs="Arial"/>
                <w:b/>
                <w:bCs/>
                <w:color w:val="000000"/>
                <w:sz w:val="20"/>
                <w:szCs w:val="20"/>
              </w:rPr>
            </w:pPr>
            <w:proofErr w:type="gramStart"/>
            <w:r w:rsidRPr="00403E76">
              <w:rPr>
                <w:rFonts w:ascii="Arial" w:hAnsi="Arial" w:cs="Arial"/>
                <w:b/>
                <w:bCs/>
                <w:color w:val="000000"/>
                <w:sz w:val="20"/>
                <w:szCs w:val="20"/>
              </w:rPr>
              <w:t>Total</w:t>
            </w:r>
            <w:proofErr w:type="gramEnd"/>
            <w:r w:rsidRPr="00403E76">
              <w:rPr>
                <w:rFonts w:ascii="Arial" w:hAnsi="Arial" w:cs="Arial"/>
                <w:b/>
                <w:bCs/>
                <w:color w:val="000000"/>
                <w:sz w:val="20"/>
                <w:szCs w:val="20"/>
              </w:rPr>
              <w:t xml:space="preserve"> de contratos analizados</w:t>
            </w:r>
          </w:p>
        </w:tc>
        <w:tc>
          <w:tcPr>
            <w:tcW w:w="728" w:type="pct"/>
            <w:tcBorders>
              <w:top w:val="single" w:sz="4" w:space="0" w:color="auto"/>
              <w:bottom w:val="single" w:sz="4" w:space="0" w:color="auto"/>
            </w:tcBorders>
            <w:shd w:val="clear" w:color="auto" w:fill="auto"/>
            <w:noWrap/>
            <w:vAlign w:val="bottom"/>
            <w:hideMark/>
          </w:tcPr>
          <w:p w14:paraId="36CC419E" w14:textId="77777777" w:rsidR="00403E76" w:rsidRPr="00403E76" w:rsidRDefault="00403E76" w:rsidP="00403E76">
            <w:pPr>
              <w:widowControl w:val="0"/>
              <w:spacing w:after="0" w:line="276" w:lineRule="auto"/>
              <w:jc w:val="both"/>
              <w:rPr>
                <w:rFonts w:ascii="Arial" w:hAnsi="Arial" w:cs="Arial"/>
                <w:color w:val="000000"/>
                <w:sz w:val="20"/>
                <w:szCs w:val="20"/>
              </w:rPr>
            </w:pPr>
            <w:r w:rsidRPr="00403E76">
              <w:rPr>
                <w:rFonts w:ascii="Arial" w:hAnsi="Arial" w:cs="Arial"/>
                <w:color w:val="000000"/>
                <w:sz w:val="20"/>
                <w:szCs w:val="20"/>
              </w:rPr>
              <w:t>100%</w:t>
            </w:r>
          </w:p>
        </w:tc>
      </w:tr>
    </w:tbl>
    <w:p w14:paraId="2A260AFF" w14:textId="2F02BB36" w:rsidR="00403E76" w:rsidRDefault="00403E76" w:rsidP="00403E76">
      <w:pPr>
        <w:widowControl w:val="0"/>
        <w:spacing w:after="0" w:line="276" w:lineRule="auto"/>
        <w:jc w:val="both"/>
        <w:rPr>
          <w:rFonts w:ascii="Arial" w:hAnsi="Arial" w:cs="Arial"/>
          <w:bCs/>
          <w:i/>
          <w:iCs/>
          <w:color w:val="000000"/>
          <w:sz w:val="20"/>
          <w:szCs w:val="20"/>
          <w:lang w:val="es-MX"/>
        </w:rPr>
      </w:pPr>
      <w:r w:rsidRPr="00403E76">
        <w:rPr>
          <w:rFonts w:ascii="Arial" w:hAnsi="Arial" w:cs="Arial"/>
          <w:bCs/>
          <w:i/>
          <w:iCs/>
          <w:color w:val="000000"/>
          <w:sz w:val="20"/>
          <w:szCs w:val="20"/>
          <w:lang w:val="es-ES"/>
        </w:rPr>
        <w:t xml:space="preserve">Nota. Datos obtenidos del análisis de información extraída de la página oficial de </w:t>
      </w:r>
      <w:sdt>
        <w:sdtPr>
          <w:rPr>
            <w:rFonts w:ascii="Arial" w:hAnsi="Arial" w:cs="Arial"/>
            <w:bCs/>
            <w:i/>
            <w:iCs/>
            <w:color w:val="000000"/>
            <w:sz w:val="20"/>
            <w:szCs w:val="20"/>
            <w:lang w:val="es-ES"/>
          </w:rPr>
          <w:tag w:val="MENDELEY_CITATION_v3_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"/>
          <w:id w:val="1433390470"/>
          <w:placeholder>
            <w:docPart w:val="E2FD48E47DA140F4A300E9607EDC8FD5"/>
          </w:placeholder>
        </w:sdtPr>
        <w:sdtContent>
          <w:r w:rsidRPr="00403E76">
            <w:rPr>
              <w:rFonts w:ascii="Arial" w:hAnsi="Arial" w:cs="Arial"/>
              <w:bCs/>
              <w:i/>
              <w:iCs/>
              <w:color w:val="000000"/>
              <w:sz w:val="20"/>
              <w:szCs w:val="20"/>
              <w:lang w:val="es-ES"/>
            </w:rPr>
            <w:t xml:space="preserve">CELEC EP </w:t>
          </w:r>
          <w:proofErr w:type="spellStart"/>
          <w:r w:rsidRPr="00403E76">
            <w:rPr>
              <w:rFonts w:ascii="Arial" w:hAnsi="Arial" w:cs="Arial"/>
              <w:bCs/>
              <w:i/>
              <w:iCs/>
              <w:color w:val="000000"/>
              <w:sz w:val="20"/>
              <w:szCs w:val="20"/>
              <w:lang w:val="es-ES"/>
            </w:rPr>
            <w:t>Termomanabí</w:t>
          </w:r>
          <w:proofErr w:type="spellEnd"/>
          <w:r w:rsidRPr="00403E76">
            <w:rPr>
              <w:rFonts w:ascii="Arial" w:hAnsi="Arial" w:cs="Arial"/>
              <w:bCs/>
              <w:i/>
              <w:iCs/>
              <w:color w:val="000000"/>
              <w:sz w:val="20"/>
              <w:szCs w:val="20"/>
              <w:lang w:val="es-ES"/>
            </w:rPr>
            <w:t xml:space="preserve"> (2022)</w:t>
          </w:r>
        </w:sdtContent>
      </w:sdt>
      <w:r w:rsidRPr="00403E76">
        <w:rPr>
          <w:rFonts w:ascii="Arial" w:hAnsi="Arial" w:cs="Arial"/>
          <w:bCs/>
          <w:i/>
          <w:iCs/>
          <w:color w:val="000000"/>
          <w:sz w:val="20"/>
          <w:szCs w:val="20"/>
          <w:lang w:val="es-ES"/>
        </w:rPr>
        <w:t xml:space="preserve">. </w:t>
      </w:r>
      <w:r w:rsidRPr="00403E76">
        <w:rPr>
          <w:rFonts w:ascii="Arial" w:hAnsi="Arial" w:cs="Arial"/>
          <w:bCs/>
          <w:i/>
          <w:iCs/>
          <w:color w:val="000000"/>
          <w:sz w:val="20"/>
          <w:szCs w:val="20"/>
          <w:lang w:val="es-MX"/>
        </w:rPr>
        <w:t>Elaborado por: Autoras de la investigación</w:t>
      </w:r>
      <w:r>
        <w:rPr>
          <w:rFonts w:ascii="Arial" w:hAnsi="Arial" w:cs="Arial"/>
          <w:bCs/>
          <w:i/>
          <w:iCs/>
          <w:color w:val="000000"/>
          <w:sz w:val="20"/>
          <w:szCs w:val="20"/>
          <w:lang w:val="es-MX"/>
        </w:rPr>
        <w:t>.</w:t>
      </w:r>
    </w:p>
    <w:p w14:paraId="16D4D538" w14:textId="77777777" w:rsidR="00403E76" w:rsidRPr="00403E76" w:rsidRDefault="00403E76" w:rsidP="00403E76">
      <w:pPr>
        <w:widowControl w:val="0"/>
        <w:spacing w:after="0" w:line="276" w:lineRule="auto"/>
        <w:jc w:val="both"/>
        <w:rPr>
          <w:rFonts w:ascii="Arial" w:hAnsi="Arial" w:cs="Arial"/>
          <w:bCs/>
          <w:i/>
          <w:iCs/>
          <w:color w:val="000000"/>
          <w:sz w:val="20"/>
          <w:szCs w:val="20"/>
          <w:lang w:val="es-ES"/>
        </w:rPr>
      </w:pPr>
    </w:p>
    <w:p w14:paraId="3EEDCAD0" w14:textId="77777777" w:rsidR="00403E76" w:rsidRPr="00403E76" w:rsidRDefault="00403E76" w:rsidP="00403E76">
      <w:pPr>
        <w:spacing w:before="240" w:line="276" w:lineRule="auto"/>
        <w:jc w:val="both"/>
        <w:rPr>
          <w:rFonts w:ascii="Arial" w:hAnsi="Arial" w:cs="Arial"/>
          <w:i/>
          <w:iCs/>
          <w:sz w:val="20"/>
          <w:szCs w:val="20"/>
          <w:lang w:val="es-ES"/>
        </w:rPr>
        <w:sectPr w:rsidR="00403E76" w:rsidRPr="00403E76" w:rsidSect="00403E76">
          <w:type w:val="continuous"/>
          <w:pgSz w:w="11906" w:h="16838"/>
          <w:pgMar w:top="1417" w:right="1701" w:bottom="1417" w:left="1701" w:header="708" w:footer="708" w:gutter="0"/>
          <w:cols w:space="708"/>
          <w:docGrid w:linePitch="360"/>
        </w:sectPr>
      </w:pPr>
    </w:p>
    <w:p w14:paraId="2CC100F7"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De acuerdo a los resultados de la tabla 2, los errores identificados en el proceso previo al pago en el área de tesorería de CELEC EP </w:t>
      </w:r>
      <w:proofErr w:type="spellStart"/>
      <w:r w:rsidRPr="00403E76">
        <w:rPr>
          <w:rFonts w:ascii="Arial" w:hAnsi="Arial" w:cs="Arial"/>
          <w:sz w:val="24"/>
          <w:szCs w:val="24"/>
        </w:rPr>
        <w:t>Termomanabí</w:t>
      </w:r>
      <w:proofErr w:type="spellEnd"/>
      <w:r w:rsidRPr="00403E76">
        <w:rPr>
          <w:rFonts w:ascii="Arial" w:hAnsi="Arial" w:cs="Arial"/>
          <w:sz w:val="24"/>
          <w:szCs w:val="24"/>
        </w:rPr>
        <w:t xml:space="preserve"> realizados durante el año 2022 son generalmente de </w:t>
      </w:r>
      <w:r w:rsidRPr="00403E76">
        <w:rPr>
          <w:rFonts w:ascii="Arial" w:hAnsi="Arial" w:cs="Arial"/>
          <w:sz w:val="24"/>
          <w:szCs w:val="24"/>
        </w:rPr>
        <w:t xml:space="preserve">forma, entre los cuales el 15% entre los requisitos el acta de entrega no presenta la firma del proveedor, otro 15% no adjunta los respectivos certificados emitidos por el IESS de no mantener obligaciones patronales </w:t>
      </w:r>
      <w:r w:rsidRPr="00403E76">
        <w:rPr>
          <w:rFonts w:ascii="Arial" w:hAnsi="Arial" w:cs="Arial"/>
          <w:sz w:val="24"/>
          <w:szCs w:val="24"/>
        </w:rPr>
        <w:lastRenderedPageBreak/>
        <w:t xml:space="preserve">o no anexan los roles de pago de los empleados que permiten verificar los valores por sueldos y salarios que perciben. Por otra parte, en un 10% se detectan falta de documentos como informe del administrador en la orden de compra, informe de los delegados técnicos, datos incompletos de los empleados en el certificado de cumplimiento al IESS, falta de firmas en el informe del administrador y de recibido a satisfacción. En un 5% la revisión de los documentos también se encuentran errores de la fecha del acta entrega parcial que no concuerda con la del informe del administrador. En este mismo porcentaje otra falencia detectada es que la sumatoria del pedido no coincide con la del informe del administrador por lo que debe informarse al proveedor para que realice la corrección debida y se </w:t>
      </w:r>
      <w:r w:rsidRPr="00403E76">
        <w:rPr>
          <w:rFonts w:ascii="Arial" w:hAnsi="Arial" w:cs="Arial"/>
          <w:sz w:val="24"/>
          <w:szCs w:val="24"/>
        </w:rPr>
        <w:t>pueda proceder con el pago. Otro de los aspectos que olvidan o pasan por alto los proveedores en un 5%, es hacer referencia a la liquidación en el informe del administrador.</w:t>
      </w:r>
    </w:p>
    <w:p w14:paraId="034EBBDB" w14:textId="77777777" w:rsidR="00403E76" w:rsidRP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Cabe destacar que cuando se identifican estos errores se informa a las empresas contratadas o proveedores para que realicen la corrección correspondiente y una vez que cumplen con los requisitos sin falla alguna se procede a realizar el pago.</w:t>
      </w:r>
    </w:p>
    <w:p w14:paraId="0F0DB45D" w14:textId="7E8975E7" w:rsidR="00403E76" w:rsidRDefault="00403E76" w:rsidP="00403E76">
      <w:pPr>
        <w:spacing w:before="240" w:line="360" w:lineRule="auto"/>
        <w:jc w:val="both"/>
        <w:rPr>
          <w:rFonts w:ascii="Arial" w:hAnsi="Arial" w:cs="Arial"/>
          <w:sz w:val="24"/>
          <w:szCs w:val="24"/>
        </w:rPr>
      </w:pPr>
      <w:r w:rsidRPr="00403E76">
        <w:rPr>
          <w:rFonts w:ascii="Arial" w:hAnsi="Arial" w:cs="Arial"/>
          <w:sz w:val="24"/>
          <w:szCs w:val="24"/>
        </w:rPr>
        <w:t xml:space="preserve">Otro de las situaciones analizadas en este estudio corresponde a las auditorias efectuadas durante el año 2022, con el fin de identificar si existieron hallazgos relacionados al cumplimiento de la Norma de Control Interno referente al compromiso y devengado en la administración de recursos en CELEC EP </w:t>
      </w:r>
      <w:proofErr w:type="spellStart"/>
      <w:r w:rsidRPr="00403E76">
        <w:rPr>
          <w:rFonts w:ascii="Arial" w:hAnsi="Arial" w:cs="Arial"/>
          <w:sz w:val="24"/>
          <w:szCs w:val="24"/>
        </w:rPr>
        <w:t>Termomanabí</w:t>
      </w:r>
      <w:proofErr w:type="spellEnd"/>
      <w:r w:rsidRPr="00403E76">
        <w:rPr>
          <w:rFonts w:ascii="Arial" w:hAnsi="Arial" w:cs="Arial"/>
          <w:sz w:val="24"/>
          <w:szCs w:val="24"/>
        </w:rPr>
        <w:t>.</w:t>
      </w:r>
    </w:p>
    <w:p w14:paraId="58FAA237" w14:textId="77777777" w:rsidR="00403E76" w:rsidRDefault="00403E76" w:rsidP="00403E76">
      <w:pPr>
        <w:spacing w:before="240" w:line="360" w:lineRule="auto"/>
        <w:jc w:val="both"/>
        <w:rPr>
          <w:rFonts w:ascii="Arial" w:hAnsi="Arial" w:cs="Arial"/>
          <w:sz w:val="24"/>
          <w:szCs w:val="24"/>
        </w:rPr>
        <w:sectPr w:rsidR="00403E76" w:rsidSect="00330E16">
          <w:type w:val="continuous"/>
          <w:pgSz w:w="11906" w:h="16838"/>
          <w:pgMar w:top="1417" w:right="1701" w:bottom="1417" w:left="1701" w:header="708" w:footer="708" w:gutter="0"/>
          <w:cols w:num="2" w:space="708"/>
          <w:docGrid w:linePitch="360"/>
        </w:sectPr>
      </w:pPr>
    </w:p>
    <w:p w14:paraId="688D22A7" w14:textId="67A6846C" w:rsidR="00403E76" w:rsidRPr="00F567A2" w:rsidRDefault="00403E76" w:rsidP="00F567A2">
      <w:pPr>
        <w:widowControl w:val="0"/>
        <w:spacing w:after="0" w:line="276" w:lineRule="auto"/>
        <w:jc w:val="center"/>
        <w:rPr>
          <w:rFonts w:ascii="Arial" w:hAnsi="Arial" w:cs="Arial"/>
          <w:b/>
          <w:bCs/>
          <w:i/>
          <w:iCs/>
          <w:color w:val="000000"/>
          <w:sz w:val="20"/>
          <w:szCs w:val="20"/>
        </w:rPr>
      </w:pPr>
      <w:r w:rsidRPr="00F567A2">
        <w:rPr>
          <w:rFonts w:ascii="Arial" w:hAnsi="Arial" w:cs="Arial"/>
          <w:b/>
          <w:bCs/>
          <w:i/>
          <w:iCs/>
          <w:color w:val="000000"/>
          <w:sz w:val="20"/>
          <w:szCs w:val="20"/>
        </w:rPr>
        <w:t xml:space="preserve">Tabla </w:t>
      </w:r>
      <w:r w:rsidRPr="00F567A2">
        <w:rPr>
          <w:rFonts w:ascii="Arial" w:hAnsi="Arial" w:cs="Arial"/>
          <w:b/>
          <w:bCs/>
          <w:i/>
          <w:iCs/>
          <w:color w:val="000000"/>
          <w:sz w:val="20"/>
          <w:szCs w:val="20"/>
        </w:rPr>
        <w:fldChar w:fldCharType="begin"/>
      </w:r>
      <w:r w:rsidRPr="00F567A2">
        <w:rPr>
          <w:rFonts w:ascii="Arial" w:hAnsi="Arial" w:cs="Arial"/>
          <w:b/>
          <w:bCs/>
          <w:i/>
          <w:iCs/>
          <w:color w:val="000000"/>
          <w:sz w:val="20"/>
          <w:szCs w:val="20"/>
        </w:rPr>
        <w:instrText xml:space="preserve"> SEQ Tabla \* ARABIC </w:instrText>
      </w:r>
      <w:r w:rsidRPr="00F567A2">
        <w:rPr>
          <w:rFonts w:ascii="Arial" w:hAnsi="Arial" w:cs="Arial"/>
          <w:b/>
          <w:bCs/>
          <w:i/>
          <w:iCs/>
          <w:color w:val="000000"/>
          <w:sz w:val="20"/>
          <w:szCs w:val="20"/>
        </w:rPr>
        <w:fldChar w:fldCharType="separate"/>
      </w:r>
      <w:r w:rsidR="00F96511">
        <w:rPr>
          <w:rFonts w:ascii="Arial" w:hAnsi="Arial" w:cs="Arial"/>
          <w:b/>
          <w:bCs/>
          <w:i/>
          <w:iCs/>
          <w:noProof/>
          <w:color w:val="000000"/>
          <w:sz w:val="20"/>
          <w:szCs w:val="20"/>
        </w:rPr>
        <w:t>3</w:t>
      </w:r>
      <w:r w:rsidRPr="00F567A2">
        <w:rPr>
          <w:rFonts w:ascii="Arial" w:hAnsi="Arial" w:cs="Arial"/>
          <w:i/>
          <w:iCs/>
          <w:color w:val="000000"/>
          <w:sz w:val="20"/>
          <w:szCs w:val="20"/>
        </w:rPr>
        <w:fldChar w:fldCharType="end"/>
      </w:r>
      <w:r w:rsidRPr="00F567A2">
        <w:rPr>
          <w:rFonts w:ascii="Arial" w:hAnsi="Arial" w:cs="Arial"/>
          <w:b/>
          <w:bCs/>
          <w:i/>
          <w:iCs/>
          <w:color w:val="000000"/>
          <w:sz w:val="20"/>
          <w:szCs w:val="20"/>
        </w:rPr>
        <w:t xml:space="preserve">. </w:t>
      </w:r>
      <w:r w:rsidRPr="00F567A2">
        <w:rPr>
          <w:rFonts w:ascii="Arial" w:hAnsi="Arial" w:cs="Arial"/>
          <w:bCs/>
          <w:i/>
          <w:iCs/>
          <w:color w:val="000000"/>
          <w:sz w:val="20"/>
          <w:szCs w:val="20"/>
          <w:lang w:val="es-ES"/>
        </w:rPr>
        <w:t xml:space="preserve">Observaciones en auditorias efectuadas a CELEC EP </w:t>
      </w:r>
      <w:proofErr w:type="spellStart"/>
      <w:r w:rsidRPr="00F567A2">
        <w:rPr>
          <w:rFonts w:ascii="Arial" w:hAnsi="Arial" w:cs="Arial"/>
          <w:bCs/>
          <w:i/>
          <w:iCs/>
          <w:color w:val="000000"/>
          <w:sz w:val="20"/>
          <w:szCs w:val="20"/>
          <w:lang w:val="es-ES"/>
        </w:rPr>
        <w:t>Termomanabí</w:t>
      </w:r>
      <w:proofErr w:type="spellEnd"/>
      <w:r w:rsidRPr="00F567A2">
        <w:rPr>
          <w:rFonts w:ascii="Arial" w:hAnsi="Arial" w:cs="Arial"/>
          <w:bCs/>
          <w:i/>
          <w:iCs/>
          <w:color w:val="000000"/>
          <w:sz w:val="20"/>
          <w:szCs w:val="20"/>
          <w:lang w:val="es-ES"/>
        </w:rPr>
        <w:t xml:space="preserve"> durante el año 2022</w:t>
      </w:r>
    </w:p>
    <w:tbl>
      <w:tblPr>
        <w:tblStyle w:val="Tablaconcuadrcul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693"/>
        <w:gridCol w:w="2682"/>
      </w:tblGrid>
      <w:tr w:rsidR="00403E76" w:rsidRPr="00F567A2" w14:paraId="47E1B37A" w14:textId="77777777" w:rsidTr="00D86494">
        <w:tc>
          <w:tcPr>
            <w:tcW w:w="3119" w:type="dxa"/>
            <w:tcBorders>
              <w:top w:val="single" w:sz="4" w:space="0" w:color="auto"/>
              <w:bottom w:val="single" w:sz="4" w:space="0" w:color="auto"/>
            </w:tcBorders>
          </w:tcPr>
          <w:p w14:paraId="0977594E" w14:textId="77777777" w:rsidR="00403E76" w:rsidRPr="00F567A2" w:rsidRDefault="00403E76" w:rsidP="00F567A2">
            <w:pPr>
              <w:widowControl w:val="0"/>
              <w:spacing w:line="276" w:lineRule="auto"/>
              <w:jc w:val="both"/>
              <w:rPr>
                <w:rFonts w:ascii="Arial" w:hAnsi="Arial" w:cs="Arial"/>
                <w:b/>
                <w:color w:val="000000"/>
                <w:sz w:val="20"/>
                <w:szCs w:val="20"/>
                <w:lang w:val="es-ES"/>
              </w:rPr>
            </w:pPr>
            <w:r w:rsidRPr="00F567A2">
              <w:rPr>
                <w:rFonts w:ascii="Arial" w:hAnsi="Arial" w:cs="Arial"/>
                <w:b/>
                <w:color w:val="000000"/>
                <w:sz w:val="20"/>
                <w:szCs w:val="20"/>
                <w:lang w:val="es-ES"/>
              </w:rPr>
              <w:t xml:space="preserve">Acción de control </w:t>
            </w:r>
          </w:p>
        </w:tc>
        <w:tc>
          <w:tcPr>
            <w:tcW w:w="2693" w:type="dxa"/>
            <w:tcBorders>
              <w:top w:val="single" w:sz="4" w:space="0" w:color="auto"/>
              <w:bottom w:val="single" w:sz="4" w:space="0" w:color="auto"/>
            </w:tcBorders>
          </w:tcPr>
          <w:p w14:paraId="42A9C9BF" w14:textId="77777777" w:rsidR="00403E76" w:rsidRPr="00F567A2" w:rsidRDefault="00403E76" w:rsidP="00F567A2">
            <w:pPr>
              <w:widowControl w:val="0"/>
              <w:spacing w:line="276" w:lineRule="auto"/>
              <w:jc w:val="both"/>
              <w:rPr>
                <w:rFonts w:ascii="Arial" w:hAnsi="Arial" w:cs="Arial"/>
                <w:b/>
                <w:color w:val="000000"/>
                <w:sz w:val="20"/>
                <w:szCs w:val="20"/>
                <w:lang w:val="es-ES"/>
              </w:rPr>
            </w:pPr>
            <w:r w:rsidRPr="00F567A2">
              <w:rPr>
                <w:rFonts w:ascii="Arial" w:hAnsi="Arial" w:cs="Arial"/>
                <w:b/>
                <w:color w:val="000000"/>
                <w:sz w:val="20"/>
                <w:szCs w:val="20"/>
                <w:lang w:val="es-ES"/>
              </w:rPr>
              <w:t>Observaciones</w:t>
            </w:r>
          </w:p>
        </w:tc>
        <w:tc>
          <w:tcPr>
            <w:tcW w:w="2682" w:type="dxa"/>
            <w:tcBorders>
              <w:top w:val="single" w:sz="4" w:space="0" w:color="auto"/>
              <w:bottom w:val="single" w:sz="4" w:space="0" w:color="auto"/>
            </w:tcBorders>
          </w:tcPr>
          <w:p w14:paraId="06AD7803" w14:textId="77777777" w:rsidR="00403E76" w:rsidRPr="00F567A2" w:rsidRDefault="00403E76" w:rsidP="00F567A2">
            <w:pPr>
              <w:widowControl w:val="0"/>
              <w:spacing w:line="276" w:lineRule="auto"/>
              <w:jc w:val="both"/>
              <w:rPr>
                <w:rFonts w:ascii="Arial" w:hAnsi="Arial" w:cs="Arial"/>
                <w:b/>
                <w:color w:val="000000"/>
                <w:sz w:val="20"/>
                <w:szCs w:val="20"/>
                <w:lang w:val="es-ES"/>
              </w:rPr>
            </w:pPr>
            <w:r w:rsidRPr="00F567A2">
              <w:rPr>
                <w:rFonts w:ascii="Arial" w:hAnsi="Arial" w:cs="Arial"/>
                <w:b/>
                <w:color w:val="000000"/>
                <w:sz w:val="20"/>
                <w:szCs w:val="20"/>
                <w:lang w:val="es-ES"/>
              </w:rPr>
              <w:t>Norma de Control Interno incumplida</w:t>
            </w:r>
          </w:p>
        </w:tc>
      </w:tr>
      <w:tr w:rsidR="00403E76" w:rsidRPr="00F567A2" w14:paraId="00F0B778" w14:textId="77777777" w:rsidTr="00D86494">
        <w:tc>
          <w:tcPr>
            <w:tcW w:w="3119" w:type="dxa"/>
            <w:vMerge w:val="restart"/>
            <w:tcBorders>
              <w:top w:val="single" w:sz="4" w:space="0" w:color="auto"/>
            </w:tcBorders>
          </w:tcPr>
          <w:p w14:paraId="38AF257D"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Examen especial a la suscripción, ejecución, recepción, liquidación, pago y uso de la Carta de Intención suscrita por el Gerente General de CELEC EP mediante oficio CELEC EP-2018-0902-OFI de 6 de junio de 2018, y, a las fases preparatoria, precontractual, contractual, ejecución, </w:t>
            </w:r>
            <w:r w:rsidRPr="00F567A2">
              <w:rPr>
                <w:rFonts w:ascii="Arial" w:hAnsi="Arial" w:cs="Arial"/>
                <w:bCs/>
                <w:color w:val="000000"/>
                <w:sz w:val="20"/>
                <w:szCs w:val="20"/>
                <w:lang w:val="es-ES"/>
              </w:rPr>
              <w:lastRenderedPageBreak/>
              <w:t>recepción, liquidación, pago y uso del contrato 039-2018 para la “</w:t>
            </w:r>
            <w:r w:rsidRPr="00F567A2">
              <w:rPr>
                <w:rFonts w:ascii="Arial" w:hAnsi="Arial" w:cs="Arial"/>
                <w:bCs/>
                <w:i/>
                <w:iCs/>
                <w:color w:val="000000"/>
                <w:sz w:val="20"/>
                <w:szCs w:val="20"/>
                <w:lang w:val="es-ES"/>
              </w:rPr>
              <w:t>Provisión de aceite lubricante para las unidades de generación con motores de combustión interna de la Empresa Pública Estratégica Corporación Eléctrica del Ecuador CELEC EP</w:t>
            </w:r>
            <w:r w:rsidRPr="00F567A2">
              <w:rPr>
                <w:rFonts w:ascii="Arial" w:hAnsi="Arial" w:cs="Arial"/>
                <w:bCs/>
                <w:color w:val="000000"/>
                <w:sz w:val="20"/>
                <w:szCs w:val="20"/>
                <w:lang w:val="es-ES"/>
              </w:rPr>
              <w:t>”, por el periodo comprendido entre el 1 de enero de 2018 y el 31 de diciembre de 2021.</w:t>
            </w:r>
          </w:p>
        </w:tc>
        <w:tc>
          <w:tcPr>
            <w:tcW w:w="2693" w:type="dxa"/>
            <w:tcBorders>
              <w:top w:val="single" w:sz="4" w:space="0" w:color="auto"/>
            </w:tcBorders>
          </w:tcPr>
          <w:p w14:paraId="323E01E8"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lastRenderedPageBreak/>
              <w:t xml:space="preserve">Adquisición de aceite lubricante, sin el inicio de un proceso de contratación </w:t>
            </w:r>
          </w:p>
        </w:tc>
        <w:tc>
          <w:tcPr>
            <w:tcW w:w="2682" w:type="dxa"/>
            <w:tcBorders>
              <w:top w:val="single" w:sz="4" w:space="0" w:color="auto"/>
            </w:tcBorders>
          </w:tcPr>
          <w:p w14:paraId="0FDBDE6D"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 y letra a) de la 406-03 Contratación </w:t>
            </w:r>
          </w:p>
        </w:tc>
      </w:tr>
      <w:tr w:rsidR="00403E76" w:rsidRPr="00F567A2" w14:paraId="573B57B0" w14:textId="77777777" w:rsidTr="00D86494">
        <w:tc>
          <w:tcPr>
            <w:tcW w:w="3119" w:type="dxa"/>
            <w:vMerge/>
          </w:tcPr>
          <w:p w14:paraId="2DBB2F17"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010A5D8D"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Proceso de contratación sin estudio previo aprobado y legalizado</w:t>
            </w:r>
          </w:p>
        </w:tc>
        <w:tc>
          <w:tcPr>
            <w:tcW w:w="2682" w:type="dxa"/>
          </w:tcPr>
          <w:p w14:paraId="05B3A130"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 y 406-03 Contratación</w:t>
            </w:r>
          </w:p>
        </w:tc>
      </w:tr>
      <w:tr w:rsidR="00403E76" w:rsidRPr="00F567A2" w14:paraId="1311AD34" w14:textId="77777777" w:rsidTr="00D86494">
        <w:tc>
          <w:tcPr>
            <w:tcW w:w="3119" w:type="dxa"/>
            <w:vMerge/>
          </w:tcPr>
          <w:p w14:paraId="1A9FCCD5"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7F81C7AA"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Suscripción del Contrato 039-2018 fuera del plazo establecido </w:t>
            </w:r>
          </w:p>
        </w:tc>
        <w:tc>
          <w:tcPr>
            <w:tcW w:w="2682" w:type="dxa"/>
          </w:tcPr>
          <w:p w14:paraId="30D5BF1E"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w:t>
            </w:r>
          </w:p>
        </w:tc>
      </w:tr>
      <w:tr w:rsidR="00403E76" w:rsidRPr="00F567A2" w14:paraId="5C946969" w14:textId="77777777" w:rsidTr="00D86494">
        <w:tc>
          <w:tcPr>
            <w:tcW w:w="3119" w:type="dxa"/>
            <w:vMerge/>
          </w:tcPr>
          <w:p w14:paraId="282E6C6C"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18023E7C"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Registro de soporte de </w:t>
            </w:r>
            <w:r w:rsidRPr="00F567A2">
              <w:rPr>
                <w:rFonts w:ascii="Arial" w:hAnsi="Arial" w:cs="Arial"/>
                <w:bCs/>
                <w:color w:val="000000"/>
                <w:sz w:val="20"/>
                <w:szCs w:val="20"/>
                <w:lang w:val="es-ES"/>
              </w:rPr>
              <w:lastRenderedPageBreak/>
              <w:t>órdenes de pago sin cumplir con las formalidades</w:t>
            </w:r>
          </w:p>
        </w:tc>
        <w:tc>
          <w:tcPr>
            <w:tcW w:w="2682" w:type="dxa"/>
          </w:tcPr>
          <w:p w14:paraId="2923C6F5"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lastRenderedPageBreak/>
              <w:t xml:space="preserve">405-04 Documentación de </w:t>
            </w:r>
            <w:r w:rsidRPr="00F567A2">
              <w:rPr>
                <w:rFonts w:ascii="Arial" w:hAnsi="Arial" w:cs="Arial"/>
                <w:bCs/>
                <w:color w:val="000000"/>
                <w:sz w:val="20"/>
                <w:szCs w:val="20"/>
                <w:lang w:val="es-ES"/>
              </w:rPr>
              <w:lastRenderedPageBreak/>
              <w:t>respaldo y su archivo</w:t>
            </w:r>
          </w:p>
        </w:tc>
      </w:tr>
      <w:tr w:rsidR="00403E76" w:rsidRPr="00F567A2" w14:paraId="13E82983" w14:textId="77777777" w:rsidTr="00D86494">
        <w:trPr>
          <w:trHeight w:val="952"/>
        </w:trPr>
        <w:tc>
          <w:tcPr>
            <w:tcW w:w="3119" w:type="dxa"/>
            <w:vMerge/>
          </w:tcPr>
          <w:p w14:paraId="449CDB21"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508F4FBD"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Recepción de productos sin contar con informe técnico</w:t>
            </w:r>
          </w:p>
        </w:tc>
        <w:tc>
          <w:tcPr>
            <w:tcW w:w="2682" w:type="dxa"/>
          </w:tcPr>
          <w:p w14:paraId="24F2DBD4"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w:t>
            </w:r>
          </w:p>
        </w:tc>
      </w:tr>
      <w:tr w:rsidR="00403E76" w:rsidRPr="00F567A2" w14:paraId="2BAA1441" w14:textId="77777777" w:rsidTr="00D86494">
        <w:tc>
          <w:tcPr>
            <w:tcW w:w="3119" w:type="dxa"/>
            <w:vMerge/>
          </w:tcPr>
          <w:p w14:paraId="4C8D43BB"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626C3F2A"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Documentación e información incompleta para justificar el uso del aceite lubricante</w:t>
            </w:r>
          </w:p>
        </w:tc>
        <w:tc>
          <w:tcPr>
            <w:tcW w:w="2682" w:type="dxa"/>
          </w:tcPr>
          <w:p w14:paraId="6DC00D1D"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w:t>
            </w:r>
          </w:p>
          <w:p w14:paraId="7BC41016"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405-04 Documentación de respaldo y su archivo</w:t>
            </w:r>
          </w:p>
        </w:tc>
      </w:tr>
      <w:tr w:rsidR="00403E76" w:rsidRPr="00F567A2" w14:paraId="76211BA9" w14:textId="77777777" w:rsidTr="00D86494">
        <w:tc>
          <w:tcPr>
            <w:tcW w:w="3119" w:type="dxa"/>
            <w:vMerge/>
          </w:tcPr>
          <w:p w14:paraId="36D7C99F"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0F5EA198"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Documentación relevante sin publicación en el portal de compras públicas</w:t>
            </w:r>
          </w:p>
        </w:tc>
        <w:tc>
          <w:tcPr>
            <w:tcW w:w="2682" w:type="dxa"/>
          </w:tcPr>
          <w:p w14:paraId="3C6A0CFA"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w:t>
            </w:r>
          </w:p>
          <w:p w14:paraId="4B80949B"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401-03 Supervisión</w:t>
            </w:r>
          </w:p>
          <w:p w14:paraId="1ED1EA95"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600-001 Seguimiento continuo en operación</w:t>
            </w:r>
          </w:p>
        </w:tc>
      </w:tr>
      <w:tr w:rsidR="00403E76" w:rsidRPr="00F567A2" w14:paraId="10BE8D02" w14:textId="77777777" w:rsidTr="00D86494">
        <w:trPr>
          <w:trHeight w:val="935"/>
        </w:trPr>
        <w:tc>
          <w:tcPr>
            <w:tcW w:w="3119" w:type="dxa"/>
            <w:vMerge/>
          </w:tcPr>
          <w:p w14:paraId="6F2F11CF" w14:textId="77777777" w:rsidR="00403E76" w:rsidRPr="00F567A2" w:rsidRDefault="00403E76" w:rsidP="00F567A2">
            <w:pPr>
              <w:widowControl w:val="0"/>
              <w:spacing w:line="276" w:lineRule="auto"/>
              <w:jc w:val="both"/>
              <w:rPr>
                <w:rFonts w:ascii="Arial" w:hAnsi="Arial" w:cs="Arial"/>
                <w:bCs/>
                <w:color w:val="000000"/>
                <w:sz w:val="20"/>
                <w:szCs w:val="20"/>
                <w:lang w:val="es-ES"/>
              </w:rPr>
            </w:pPr>
          </w:p>
        </w:tc>
        <w:tc>
          <w:tcPr>
            <w:tcW w:w="2693" w:type="dxa"/>
          </w:tcPr>
          <w:p w14:paraId="7BCB364B"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Contrato 039-2018 no está liquidado</w:t>
            </w:r>
          </w:p>
        </w:tc>
        <w:tc>
          <w:tcPr>
            <w:tcW w:w="2682" w:type="dxa"/>
          </w:tcPr>
          <w:p w14:paraId="3DEEE471"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100-03 </w:t>
            </w:r>
            <w:proofErr w:type="gramStart"/>
            <w:r w:rsidRPr="00F567A2">
              <w:rPr>
                <w:rFonts w:ascii="Arial" w:hAnsi="Arial" w:cs="Arial"/>
                <w:bCs/>
                <w:color w:val="000000"/>
                <w:sz w:val="20"/>
                <w:szCs w:val="20"/>
                <w:lang w:val="es-ES"/>
              </w:rPr>
              <w:t>Responsables</w:t>
            </w:r>
            <w:proofErr w:type="gramEnd"/>
            <w:r w:rsidRPr="00F567A2">
              <w:rPr>
                <w:rFonts w:ascii="Arial" w:hAnsi="Arial" w:cs="Arial"/>
                <w:bCs/>
                <w:color w:val="000000"/>
                <w:sz w:val="20"/>
                <w:szCs w:val="20"/>
                <w:lang w:val="es-ES"/>
              </w:rPr>
              <w:t xml:space="preserve"> del control interno</w:t>
            </w:r>
          </w:p>
        </w:tc>
      </w:tr>
      <w:tr w:rsidR="00403E76" w:rsidRPr="00F567A2" w14:paraId="6E62A67B" w14:textId="77777777" w:rsidTr="00D86494">
        <w:tc>
          <w:tcPr>
            <w:tcW w:w="3119" w:type="dxa"/>
          </w:tcPr>
          <w:p w14:paraId="793443EA"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 xml:space="preserve">Examen especial a las fases preparatoria, precontractual, contractual, ejecución, liquidación y uso de los bienes adquiridos mediante los contratos CELEC EP-GSR-CON-0037-19 para la “La adquisición de equipo de levantamiento batimétrico y sus accesorios para el embalse de la central hidroeléctrica </w:t>
            </w:r>
            <w:proofErr w:type="spellStart"/>
            <w:r w:rsidRPr="00F567A2">
              <w:rPr>
                <w:rFonts w:ascii="Arial" w:hAnsi="Arial" w:cs="Arial"/>
                <w:bCs/>
                <w:color w:val="000000"/>
                <w:sz w:val="20"/>
                <w:szCs w:val="20"/>
                <w:lang w:val="es-ES"/>
              </w:rPr>
              <w:t>Deisitanisagua</w:t>
            </w:r>
            <w:proofErr w:type="spellEnd"/>
            <w:r w:rsidRPr="00F567A2">
              <w:rPr>
                <w:rFonts w:ascii="Arial" w:hAnsi="Arial" w:cs="Arial"/>
                <w:bCs/>
                <w:color w:val="000000"/>
                <w:sz w:val="20"/>
                <w:szCs w:val="20"/>
                <w:lang w:val="es-ES"/>
              </w:rPr>
              <w:t>” y CELEC EP-GSR-CON-0088-18 para la “Adquisición de equipamiento meteorológico para el acondicionamiento de siete torres de medición de viento de CELEC EP GENSUR”, en la Unidad de Negocio GENSUR, por el periodo comprendido entre el 1 de enero de 2018 y el 31 de diciembre de 2021</w:t>
            </w:r>
          </w:p>
        </w:tc>
        <w:tc>
          <w:tcPr>
            <w:tcW w:w="2693" w:type="dxa"/>
          </w:tcPr>
          <w:p w14:paraId="651E5F11"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No existió segregación de funciones en los servidores que participaron en las fases de contratación: preparatoria, precontractual, contractual y ejecución de los procesos SIE-CELGSR-031-18 y SIE-CELGSR-031-19</w:t>
            </w:r>
          </w:p>
        </w:tc>
        <w:tc>
          <w:tcPr>
            <w:tcW w:w="2682" w:type="dxa"/>
          </w:tcPr>
          <w:p w14:paraId="59320124" w14:textId="77777777" w:rsidR="00403E76" w:rsidRPr="00F567A2" w:rsidRDefault="00403E76" w:rsidP="00F567A2">
            <w:pPr>
              <w:widowControl w:val="0"/>
              <w:spacing w:line="276" w:lineRule="auto"/>
              <w:jc w:val="both"/>
              <w:rPr>
                <w:rFonts w:ascii="Arial" w:hAnsi="Arial" w:cs="Arial"/>
                <w:bCs/>
                <w:color w:val="000000"/>
                <w:sz w:val="20"/>
                <w:szCs w:val="20"/>
                <w:lang w:val="es-ES"/>
              </w:rPr>
            </w:pPr>
            <w:r w:rsidRPr="00F567A2">
              <w:rPr>
                <w:rFonts w:ascii="Arial" w:hAnsi="Arial" w:cs="Arial"/>
                <w:bCs/>
                <w:color w:val="000000"/>
                <w:sz w:val="20"/>
                <w:szCs w:val="20"/>
                <w:lang w:val="es-ES"/>
              </w:rPr>
              <w:t>401-01 Separación de funciones y rotación de labores</w:t>
            </w:r>
          </w:p>
        </w:tc>
      </w:tr>
    </w:tbl>
    <w:p w14:paraId="5999A5CF" w14:textId="1CEC5A14" w:rsidR="00403E76" w:rsidRDefault="00403E76" w:rsidP="00F567A2">
      <w:pPr>
        <w:widowControl w:val="0"/>
        <w:spacing w:after="0" w:line="276" w:lineRule="auto"/>
        <w:jc w:val="both"/>
        <w:rPr>
          <w:rFonts w:ascii="Arial" w:hAnsi="Arial" w:cs="Arial"/>
          <w:bCs/>
          <w:i/>
          <w:iCs/>
          <w:color w:val="000000"/>
          <w:sz w:val="20"/>
          <w:szCs w:val="20"/>
          <w:lang w:val="es-ES"/>
        </w:rPr>
      </w:pPr>
      <w:r w:rsidRPr="00F567A2">
        <w:rPr>
          <w:rFonts w:ascii="Arial" w:hAnsi="Arial" w:cs="Arial"/>
          <w:bCs/>
          <w:i/>
          <w:iCs/>
          <w:color w:val="000000"/>
          <w:sz w:val="20"/>
          <w:szCs w:val="20"/>
          <w:lang w:val="es-ES"/>
        </w:rPr>
        <w:t xml:space="preserve">Nota. Extraído de la página oficial de CELEC EP </w:t>
      </w:r>
      <w:proofErr w:type="spellStart"/>
      <w:r w:rsidRPr="00F567A2">
        <w:rPr>
          <w:rFonts w:ascii="Arial" w:hAnsi="Arial" w:cs="Arial"/>
          <w:bCs/>
          <w:i/>
          <w:iCs/>
          <w:color w:val="000000"/>
          <w:sz w:val="20"/>
          <w:szCs w:val="20"/>
          <w:lang w:val="es-ES"/>
        </w:rPr>
        <w:t>Termomanabí</w:t>
      </w:r>
      <w:proofErr w:type="spellEnd"/>
      <w:r w:rsidRPr="00F567A2">
        <w:rPr>
          <w:rFonts w:ascii="Arial" w:hAnsi="Arial" w:cs="Arial"/>
          <w:bCs/>
          <w:i/>
          <w:iCs/>
          <w:color w:val="000000"/>
          <w:sz w:val="20"/>
          <w:szCs w:val="20"/>
          <w:lang w:val="es-ES"/>
        </w:rPr>
        <w:t>, sección transparencia (2022)</w:t>
      </w:r>
    </w:p>
    <w:p w14:paraId="3248803E" w14:textId="77777777" w:rsidR="00F567A2" w:rsidRPr="00F567A2" w:rsidRDefault="00F567A2" w:rsidP="00F567A2">
      <w:pPr>
        <w:widowControl w:val="0"/>
        <w:spacing w:after="0" w:line="276" w:lineRule="auto"/>
        <w:jc w:val="both"/>
        <w:rPr>
          <w:rFonts w:ascii="Arial" w:hAnsi="Arial" w:cs="Arial"/>
          <w:bCs/>
          <w:i/>
          <w:iCs/>
          <w:color w:val="000000"/>
          <w:sz w:val="20"/>
          <w:szCs w:val="20"/>
          <w:lang w:val="es-ES"/>
        </w:rPr>
      </w:pPr>
    </w:p>
    <w:p w14:paraId="56A30278" w14:textId="77777777" w:rsidR="00403E76" w:rsidRPr="00F567A2" w:rsidRDefault="00403E76" w:rsidP="00403E76">
      <w:pPr>
        <w:spacing w:before="240" w:line="360" w:lineRule="auto"/>
        <w:jc w:val="both"/>
        <w:rPr>
          <w:rFonts w:ascii="Arial" w:hAnsi="Arial" w:cs="Arial"/>
          <w:i/>
          <w:iCs/>
          <w:sz w:val="24"/>
          <w:szCs w:val="24"/>
          <w:lang w:val="es-ES"/>
        </w:rPr>
        <w:sectPr w:rsidR="00403E76" w:rsidRPr="00F567A2" w:rsidSect="00403E76">
          <w:type w:val="continuous"/>
          <w:pgSz w:w="11906" w:h="16838"/>
          <w:pgMar w:top="1417" w:right="1701" w:bottom="1417" w:left="1701" w:header="708" w:footer="708" w:gutter="0"/>
          <w:cols w:space="708"/>
          <w:docGrid w:linePitch="360"/>
        </w:sectPr>
      </w:pPr>
    </w:p>
    <w:p w14:paraId="7C439253"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De acuerdo a los datos de la tabla 3, se realizaron dos exámenes especiales a CELEC EP </w:t>
      </w:r>
      <w:proofErr w:type="spellStart"/>
      <w:r w:rsidRPr="00F567A2">
        <w:rPr>
          <w:rFonts w:ascii="Arial" w:hAnsi="Arial" w:cs="Arial"/>
          <w:sz w:val="24"/>
          <w:szCs w:val="24"/>
        </w:rPr>
        <w:t>Termomanabí</w:t>
      </w:r>
      <w:proofErr w:type="spellEnd"/>
      <w:r w:rsidRPr="00F567A2">
        <w:rPr>
          <w:rFonts w:ascii="Arial" w:hAnsi="Arial" w:cs="Arial"/>
          <w:sz w:val="24"/>
          <w:szCs w:val="24"/>
        </w:rPr>
        <w:t xml:space="preserve">, en cuyos resultados no se observó situación alguna relacionadas con el incumplimiento de la norma de control interno </w:t>
      </w:r>
      <w:r w:rsidRPr="00F567A2">
        <w:rPr>
          <w:rFonts w:ascii="Arial" w:hAnsi="Arial" w:cs="Arial"/>
          <w:sz w:val="24"/>
          <w:szCs w:val="24"/>
        </w:rPr>
        <w:t xml:space="preserve">referente al compromiso y devengado en la administración de recursos, por lo que se podría concluir que dentro del área de tesorería se lleva un adecuado control previo, que permite identificar errores o fallas en los documentos </w:t>
      </w:r>
      <w:r w:rsidRPr="00F567A2">
        <w:rPr>
          <w:rFonts w:ascii="Arial" w:hAnsi="Arial" w:cs="Arial"/>
          <w:sz w:val="24"/>
          <w:szCs w:val="24"/>
        </w:rPr>
        <w:lastRenderedPageBreak/>
        <w:t>que sustentan las contrataciones efectuadas por la entidad previo al pago de las mismas, lo que permite desarrollar una administración adecuada de los recursos de la institución.</w:t>
      </w:r>
    </w:p>
    <w:p w14:paraId="26FF5F7D" w14:textId="475181C6" w:rsidR="00403E76" w:rsidRDefault="00F567A2" w:rsidP="00F567A2">
      <w:pPr>
        <w:spacing w:before="240" w:line="360" w:lineRule="auto"/>
        <w:jc w:val="both"/>
        <w:rPr>
          <w:rFonts w:ascii="Arial" w:hAnsi="Arial" w:cs="Arial"/>
          <w:sz w:val="24"/>
          <w:szCs w:val="24"/>
        </w:rPr>
      </w:pPr>
      <w:r w:rsidRPr="00F567A2">
        <w:rPr>
          <w:rFonts w:ascii="Arial" w:hAnsi="Arial" w:cs="Arial"/>
          <w:sz w:val="24"/>
          <w:szCs w:val="24"/>
        </w:rPr>
        <w:t>Para corroborar que la institución realiza una administración adecuada de los recursos se ha tomado como referencia el cumplimiento de la asignación presupuestaria 2022 por parte de la institución, cuyos rubros y porcentaje de ejecución se muestran en la tabla 4.</w:t>
      </w:r>
    </w:p>
    <w:p w14:paraId="212AF312" w14:textId="77777777" w:rsidR="00F567A2" w:rsidRDefault="00F567A2" w:rsidP="00403E76">
      <w:pPr>
        <w:spacing w:before="240" w:line="360" w:lineRule="auto"/>
        <w:jc w:val="both"/>
        <w:rPr>
          <w:rFonts w:ascii="Arial" w:hAnsi="Arial" w:cs="Arial"/>
          <w:sz w:val="24"/>
          <w:szCs w:val="24"/>
        </w:rPr>
        <w:sectPr w:rsidR="00F567A2" w:rsidSect="00330E16">
          <w:type w:val="continuous"/>
          <w:pgSz w:w="11906" w:h="16838"/>
          <w:pgMar w:top="1417" w:right="1701" w:bottom="1417" w:left="1701" w:header="708" w:footer="708" w:gutter="0"/>
          <w:cols w:num="2" w:space="708"/>
          <w:docGrid w:linePitch="360"/>
        </w:sectPr>
      </w:pPr>
    </w:p>
    <w:p w14:paraId="4EE219EF" w14:textId="1E9C15BF" w:rsidR="00F567A2" w:rsidRPr="00F567A2" w:rsidRDefault="00F567A2" w:rsidP="00F567A2">
      <w:pPr>
        <w:widowControl w:val="0"/>
        <w:spacing w:after="0" w:line="276" w:lineRule="auto"/>
        <w:jc w:val="center"/>
        <w:rPr>
          <w:rFonts w:ascii="Arial" w:hAnsi="Arial" w:cs="Arial"/>
          <w:b/>
          <w:i/>
          <w:iCs/>
          <w:color w:val="000000"/>
          <w:sz w:val="20"/>
          <w:szCs w:val="20"/>
          <w:lang w:val="es-ES"/>
        </w:rPr>
      </w:pPr>
      <w:r w:rsidRPr="00F567A2">
        <w:rPr>
          <w:rFonts w:ascii="Arial" w:hAnsi="Arial" w:cs="Arial"/>
          <w:b/>
          <w:i/>
          <w:iCs/>
          <w:color w:val="000000"/>
          <w:sz w:val="20"/>
          <w:szCs w:val="20"/>
          <w:lang w:val="es-ES"/>
        </w:rPr>
        <w:t xml:space="preserve">Tabla </w:t>
      </w:r>
      <w:r w:rsidRPr="00F567A2">
        <w:rPr>
          <w:rFonts w:ascii="Arial" w:hAnsi="Arial" w:cs="Arial"/>
          <w:b/>
          <w:i/>
          <w:iCs/>
          <w:color w:val="000000"/>
          <w:sz w:val="20"/>
          <w:szCs w:val="20"/>
          <w:lang w:val="es-ES"/>
        </w:rPr>
        <w:fldChar w:fldCharType="begin"/>
      </w:r>
      <w:r w:rsidRPr="00F567A2">
        <w:rPr>
          <w:rFonts w:ascii="Arial" w:hAnsi="Arial" w:cs="Arial"/>
          <w:b/>
          <w:i/>
          <w:iCs/>
          <w:color w:val="000000"/>
          <w:sz w:val="20"/>
          <w:szCs w:val="20"/>
          <w:lang w:val="es-ES"/>
        </w:rPr>
        <w:instrText xml:space="preserve"> SEQ Tabla \* ARABIC </w:instrText>
      </w:r>
      <w:r w:rsidRPr="00F567A2">
        <w:rPr>
          <w:rFonts w:ascii="Arial" w:hAnsi="Arial" w:cs="Arial"/>
          <w:b/>
          <w:i/>
          <w:iCs/>
          <w:color w:val="000000"/>
          <w:sz w:val="20"/>
          <w:szCs w:val="20"/>
          <w:lang w:val="es-ES"/>
        </w:rPr>
        <w:fldChar w:fldCharType="separate"/>
      </w:r>
      <w:r w:rsidR="00F96511">
        <w:rPr>
          <w:rFonts w:ascii="Arial" w:hAnsi="Arial" w:cs="Arial"/>
          <w:b/>
          <w:i/>
          <w:iCs/>
          <w:noProof/>
          <w:color w:val="000000"/>
          <w:sz w:val="20"/>
          <w:szCs w:val="20"/>
          <w:lang w:val="es-ES"/>
        </w:rPr>
        <w:t>4</w:t>
      </w:r>
      <w:r w:rsidRPr="00F567A2">
        <w:rPr>
          <w:rFonts w:ascii="Arial" w:hAnsi="Arial" w:cs="Arial"/>
          <w:i/>
          <w:iCs/>
          <w:color w:val="000000"/>
          <w:sz w:val="20"/>
          <w:szCs w:val="20"/>
        </w:rPr>
        <w:fldChar w:fldCharType="end"/>
      </w:r>
      <w:r w:rsidRPr="00F567A2">
        <w:rPr>
          <w:rFonts w:ascii="Arial" w:hAnsi="Arial" w:cs="Arial"/>
          <w:b/>
          <w:i/>
          <w:iCs/>
          <w:color w:val="000000"/>
          <w:sz w:val="20"/>
          <w:szCs w:val="20"/>
          <w:lang w:val="es-ES"/>
        </w:rPr>
        <w:t xml:space="preserve">. </w:t>
      </w:r>
      <w:r w:rsidRPr="00F567A2">
        <w:rPr>
          <w:rFonts w:ascii="Arial" w:hAnsi="Arial" w:cs="Arial"/>
          <w:i/>
          <w:iCs/>
          <w:color w:val="000000"/>
          <w:sz w:val="20"/>
          <w:szCs w:val="20"/>
          <w:lang w:val="es-ES"/>
        </w:rPr>
        <w:t>Ejecución presupuestaria 2022- Valores expresados en dólares</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094"/>
        <w:gridCol w:w="2094"/>
        <w:gridCol w:w="2158"/>
        <w:gridCol w:w="2158"/>
      </w:tblGrid>
      <w:tr w:rsidR="00F567A2" w:rsidRPr="00F567A2" w14:paraId="09B3F4EB" w14:textId="77777777" w:rsidTr="00D86494">
        <w:trPr>
          <w:trHeight w:val="690"/>
        </w:trPr>
        <w:tc>
          <w:tcPr>
            <w:tcW w:w="1231" w:type="pct"/>
            <w:tcBorders>
              <w:top w:val="single" w:sz="4" w:space="0" w:color="auto"/>
              <w:bottom w:val="single" w:sz="4" w:space="0" w:color="auto"/>
            </w:tcBorders>
            <w:shd w:val="clear" w:color="auto" w:fill="auto"/>
            <w:vAlign w:val="center"/>
            <w:hideMark/>
          </w:tcPr>
          <w:p w14:paraId="5309B28D"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Tipo</w:t>
            </w:r>
          </w:p>
        </w:tc>
        <w:tc>
          <w:tcPr>
            <w:tcW w:w="1231" w:type="pct"/>
            <w:tcBorders>
              <w:top w:val="single" w:sz="4" w:space="0" w:color="auto"/>
              <w:bottom w:val="single" w:sz="4" w:space="0" w:color="auto"/>
            </w:tcBorders>
            <w:shd w:val="clear" w:color="auto" w:fill="auto"/>
            <w:vAlign w:val="center"/>
            <w:hideMark/>
          </w:tcPr>
          <w:p w14:paraId="3613A510"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Ingreso (Presupuesto)</w:t>
            </w:r>
          </w:p>
        </w:tc>
        <w:tc>
          <w:tcPr>
            <w:tcW w:w="1269" w:type="pct"/>
            <w:tcBorders>
              <w:top w:val="single" w:sz="4" w:space="0" w:color="auto"/>
              <w:bottom w:val="single" w:sz="4" w:space="0" w:color="auto"/>
            </w:tcBorders>
            <w:shd w:val="clear" w:color="auto" w:fill="auto"/>
            <w:vAlign w:val="center"/>
            <w:hideMark/>
          </w:tcPr>
          <w:p w14:paraId="2AB0287C"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 xml:space="preserve">Gasto </w:t>
            </w:r>
            <w:r w:rsidRPr="00F567A2">
              <w:rPr>
                <w:rFonts w:ascii="Arial" w:hAnsi="Arial" w:cs="Arial"/>
                <w:b/>
                <w:bCs/>
                <w:color w:val="000000"/>
                <w:sz w:val="20"/>
                <w:szCs w:val="20"/>
                <w:lang w:val="es-ES"/>
              </w:rPr>
              <w:br/>
              <w:t>(Ejecución)</w:t>
            </w:r>
          </w:p>
        </w:tc>
        <w:tc>
          <w:tcPr>
            <w:tcW w:w="1269" w:type="pct"/>
            <w:tcBorders>
              <w:top w:val="single" w:sz="4" w:space="0" w:color="auto"/>
              <w:bottom w:val="single" w:sz="4" w:space="0" w:color="auto"/>
            </w:tcBorders>
            <w:vAlign w:val="center"/>
          </w:tcPr>
          <w:p w14:paraId="430DF670"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 de gestión cumplida</w:t>
            </w:r>
          </w:p>
        </w:tc>
      </w:tr>
      <w:tr w:rsidR="00F567A2" w:rsidRPr="00F567A2" w14:paraId="563B137C" w14:textId="77777777" w:rsidTr="00D86494">
        <w:trPr>
          <w:trHeight w:val="457"/>
        </w:trPr>
        <w:tc>
          <w:tcPr>
            <w:tcW w:w="1231" w:type="pct"/>
            <w:tcBorders>
              <w:top w:val="single" w:sz="4" w:space="0" w:color="auto"/>
            </w:tcBorders>
            <w:shd w:val="clear" w:color="auto" w:fill="auto"/>
            <w:vAlign w:val="center"/>
            <w:hideMark/>
          </w:tcPr>
          <w:p w14:paraId="57C780C2"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Corriente</w:t>
            </w:r>
          </w:p>
        </w:tc>
        <w:tc>
          <w:tcPr>
            <w:tcW w:w="1231" w:type="pct"/>
            <w:tcBorders>
              <w:top w:val="single" w:sz="4" w:space="0" w:color="auto"/>
            </w:tcBorders>
            <w:shd w:val="clear" w:color="auto" w:fill="auto"/>
            <w:vAlign w:val="center"/>
            <w:hideMark/>
          </w:tcPr>
          <w:p w14:paraId="1BA384D2"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684.871.557,27</w:t>
            </w:r>
          </w:p>
        </w:tc>
        <w:tc>
          <w:tcPr>
            <w:tcW w:w="1269" w:type="pct"/>
            <w:tcBorders>
              <w:top w:val="single" w:sz="4" w:space="0" w:color="auto"/>
            </w:tcBorders>
            <w:shd w:val="clear" w:color="auto" w:fill="auto"/>
            <w:vAlign w:val="center"/>
            <w:hideMark/>
          </w:tcPr>
          <w:p w14:paraId="6B2B26CE"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572.971.737,78</w:t>
            </w:r>
          </w:p>
        </w:tc>
        <w:tc>
          <w:tcPr>
            <w:tcW w:w="1269" w:type="pct"/>
            <w:tcBorders>
              <w:top w:val="single" w:sz="4" w:space="0" w:color="auto"/>
            </w:tcBorders>
            <w:vAlign w:val="center"/>
          </w:tcPr>
          <w:p w14:paraId="717CA7B7" w14:textId="77777777" w:rsidR="00F567A2" w:rsidRPr="00F567A2" w:rsidRDefault="00F567A2" w:rsidP="00F567A2">
            <w:pPr>
              <w:widowControl w:val="0"/>
              <w:spacing w:after="0" w:line="276" w:lineRule="auto"/>
              <w:jc w:val="center"/>
              <w:rPr>
                <w:rFonts w:ascii="Arial" w:hAnsi="Arial" w:cs="Arial"/>
                <w:color w:val="000000"/>
                <w:sz w:val="20"/>
                <w:szCs w:val="20"/>
                <w:lang w:val="es-ES"/>
              </w:rPr>
            </w:pPr>
            <w:r w:rsidRPr="00F567A2">
              <w:rPr>
                <w:rFonts w:ascii="Arial" w:hAnsi="Arial" w:cs="Arial"/>
                <w:color w:val="000000"/>
                <w:sz w:val="20"/>
                <w:szCs w:val="20"/>
                <w:lang w:val="es-ES"/>
              </w:rPr>
              <w:t>83.66%</w:t>
            </w:r>
          </w:p>
        </w:tc>
      </w:tr>
      <w:tr w:rsidR="00F567A2" w:rsidRPr="00F567A2" w14:paraId="4FA99AA0" w14:textId="77777777" w:rsidTr="00D86494">
        <w:trPr>
          <w:trHeight w:val="276"/>
        </w:trPr>
        <w:tc>
          <w:tcPr>
            <w:tcW w:w="1231" w:type="pct"/>
            <w:tcBorders>
              <w:bottom w:val="single" w:sz="4" w:space="0" w:color="auto"/>
            </w:tcBorders>
            <w:shd w:val="clear" w:color="auto" w:fill="auto"/>
            <w:vAlign w:val="center"/>
            <w:hideMark/>
          </w:tcPr>
          <w:p w14:paraId="33676D90"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Inversión</w:t>
            </w:r>
          </w:p>
        </w:tc>
        <w:tc>
          <w:tcPr>
            <w:tcW w:w="1231" w:type="pct"/>
            <w:tcBorders>
              <w:bottom w:val="single" w:sz="4" w:space="0" w:color="auto"/>
            </w:tcBorders>
            <w:shd w:val="clear" w:color="auto" w:fill="auto"/>
            <w:vAlign w:val="center"/>
            <w:hideMark/>
          </w:tcPr>
          <w:p w14:paraId="21E30E46"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291.153.900,15</w:t>
            </w:r>
          </w:p>
        </w:tc>
        <w:tc>
          <w:tcPr>
            <w:tcW w:w="1269" w:type="pct"/>
            <w:tcBorders>
              <w:bottom w:val="single" w:sz="4" w:space="0" w:color="auto"/>
            </w:tcBorders>
            <w:shd w:val="clear" w:color="auto" w:fill="auto"/>
            <w:vAlign w:val="center"/>
            <w:hideMark/>
          </w:tcPr>
          <w:p w14:paraId="1EA7488E" w14:textId="77777777" w:rsidR="00F567A2" w:rsidRPr="00F567A2" w:rsidRDefault="00F567A2" w:rsidP="00F567A2">
            <w:pPr>
              <w:widowControl w:val="0"/>
              <w:spacing w:after="0" w:line="276" w:lineRule="auto"/>
              <w:jc w:val="both"/>
              <w:rPr>
                <w:rFonts w:ascii="Arial" w:hAnsi="Arial" w:cs="Arial"/>
                <w:color w:val="000000"/>
                <w:sz w:val="20"/>
                <w:szCs w:val="20"/>
                <w:lang w:val="es-ES"/>
              </w:rPr>
            </w:pPr>
            <w:r w:rsidRPr="00F567A2">
              <w:rPr>
                <w:rFonts w:ascii="Arial" w:hAnsi="Arial" w:cs="Arial"/>
                <w:color w:val="000000"/>
                <w:sz w:val="20"/>
                <w:szCs w:val="20"/>
                <w:lang w:val="es-ES"/>
              </w:rPr>
              <w:t>124.935.412,20</w:t>
            </w:r>
          </w:p>
        </w:tc>
        <w:tc>
          <w:tcPr>
            <w:tcW w:w="1269" w:type="pct"/>
            <w:tcBorders>
              <w:bottom w:val="single" w:sz="4" w:space="0" w:color="auto"/>
            </w:tcBorders>
            <w:vAlign w:val="center"/>
          </w:tcPr>
          <w:p w14:paraId="1297411C" w14:textId="77777777" w:rsidR="00F567A2" w:rsidRPr="00F567A2" w:rsidRDefault="00F567A2" w:rsidP="00F567A2">
            <w:pPr>
              <w:widowControl w:val="0"/>
              <w:spacing w:after="0" w:line="276" w:lineRule="auto"/>
              <w:jc w:val="center"/>
              <w:rPr>
                <w:rFonts w:ascii="Arial" w:hAnsi="Arial" w:cs="Arial"/>
                <w:color w:val="000000"/>
                <w:sz w:val="20"/>
                <w:szCs w:val="20"/>
                <w:lang w:val="es-ES"/>
              </w:rPr>
            </w:pPr>
            <w:r w:rsidRPr="00F567A2">
              <w:rPr>
                <w:rFonts w:ascii="Arial" w:hAnsi="Arial" w:cs="Arial"/>
                <w:color w:val="000000"/>
                <w:sz w:val="20"/>
                <w:szCs w:val="20"/>
                <w:lang w:val="es-ES"/>
              </w:rPr>
              <w:t>42.91%</w:t>
            </w:r>
          </w:p>
        </w:tc>
      </w:tr>
      <w:tr w:rsidR="00F567A2" w:rsidRPr="00F567A2" w14:paraId="0BE372C0" w14:textId="77777777" w:rsidTr="00D86494">
        <w:trPr>
          <w:trHeight w:val="269"/>
        </w:trPr>
        <w:tc>
          <w:tcPr>
            <w:tcW w:w="1231" w:type="pct"/>
            <w:tcBorders>
              <w:top w:val="single" w:sz="4" w:space="0" w:color="auto"/>
              <w:bottom w:val="single" w:sz="4" w:space="0" w:color="auto"/>
            </w:tcBorders>
            <w:shd w:val="clear" w:color="auto" w:fill="auto"/>
            <w:vAlign w:val="center"/>
            <w:hideMark/>
          </w:tcPr>
          <w:p w14:paraId="389DC298"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Total</w:t>
            </w:r>
          </w:p>
        </w:tc>
        <w:tc>
          <w:tcPr>
            <w:tcW w:w="1231" w:type="pct"/>
            <w:tcBorders>
              <w:top w:val="single" w:sz="4" w:space="0" w:color="auto"/>
              <w:bottom w:val="single" w:sz="4" w:space="0" w:color="auto"/>
            </w:tcBorders>
            <w:shd w:val="clear" w:color="auto" w:fill="auto"/>
            <w:vAlign w:val="center"/>
            <w:hideMark/>
          </w:tcPr>
          <w:p w14:paraId="173F0C3A"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976.025.457,42</w:t>
            </w:r>
          </w:p>
        </w:tc>
        <w:tc>
          <w:tcPr>
            <w:tcW w:w="1269" w:type="pct"/>
            <w:tcBorders>
              <w:top w:val="single" w:sz="4" w:space="0" w:color="auto"/>
              <w:bottom w:val="single" w:sz="4" w:space="0" w:color="auto"/>
            </w:tcBorders>
            <w:shd w:val="clear" w:color="auto" w:fill="auto"/>
            <w:vAlign w:val="center"/>
            <w:hideMark/>
          </w:tcPr>
          <w:p w14:paraId="68C4B9BA" w14:textId="77777777" w:rsidR="00F567A2" w:rsidRPr="00F567A2" w:rsidRDefault="00F567A2" w:rsidP="00F567A2">
            <w:pPr>
              <w:widowControl w:val="0"/>
              <w:spacing w:after="0" w:line="276" w:lineRule="auto"/>
              <w:jc w:val="both"/>
              <w:rPr>
                <w:rFonts w:ascii="Arial" w:hAnsi="Arial" w:cs="Arial"/>
                <w:b/>
                <w:bCs/>
                <w:color w:val="000000"/>
                <w:sz w:val="20"/>
                <w:szCs w:val="20"/>
                <w:lang w:val="es-ES"/>
              </w:rPr>
            </w:pPr>
            <w:r w:rsidRPr="00F567A2">
              <w:rPr>
                <w:rFonts w:ascii="Arial" w:hAnsi="Arial" w:cs="Arial"/>
                <w:b/>
                <w:bCs/>
                <w:color w:val="000000"/>
                <w:sz w:val="20"/>
                <w:szCs w:val="20"/>
                <w:lang w:val="es-ES"/>
              </w:rPr>
              <w:t>697.907.149,98</w:t>
            </w:r>
          </w:p>
        </w:tc>
        <w:tc>
          <w:tcPr>
            <w:tcW w:w="1269" w:type="pct"/>
            <w:tcBorders>
              <w:top w:val="single" w:sz="4" w:space="0" w:color="auto"/>
              <w:bottom w:val="single" w:sz="4" w:space="0" w:color="auto"/>
            </w:tcBorders>
            <w:vAlign w:val="center"/>
          </w:tcPr>
          <w:p w14:paraId="5E15F84C" w14:textId="77777777" w:rsidR="00F567A2" w:rsidRPr="00F567A2" w:rsidRDefault="00F567A2" w:rsidP="00F567A2">
            <w:pPr>
              <w:widowControl w:val="0"/>
              <w:spacing w:after="0" w:line="276" w:lineRule="auto"/>
              <w:jc w:val="center"/>
              <w:rPr>
                <w:rFonts w:ascii="Arial" w:hAnsi="Arial" w:cs="Arial"/>
                <w:b/>
                <w:bCs/>
                <w:color w:val="000000"/>
                <w:sz w:val="20"/>
                <w:szCs w:val="20"/>
                <w:lang w:val="es-ES"/>
              </w:rPr>
            </w:pPr>
            <w:r w:rsidRPr="00F567A2">
              <w:rPr>
                <w:rFonts w:ascii="Arial" w:hAnsi="Arial" w:cs="Arial"/>
                <w:b/>
                <w:bCs/>
                <w:color w:val="000000"/>
                <w:sz w:val="20"/>
                <w:szCs w:val="20"/>
                <w:lang w:val="es-ES"/>
              </w:rPr>
              <w:t>71.51%</w:t>
            </w:r>
          </w:p>
        </w:tc>
      </w:tr>
    </w:tbl>
    <w:p w14:paraId="2FB5DBE2" w14:textId="2D377D66" w:rsidR="00F567A2" w:rsidRDefault="00F567A2" w:rsidP="00F567A2">
      <w:pPr>
        <w:widowControl w:val="0"/>
        <w:spacing w:after="0" w:line="276" w:lineRule="auto"/>
        <w:jc w:val="both"/>
        <w:rPr>
          <w:rFonts w:ascii="Arial" w:hAnsi="Arial" w:cs="Arial"/>
          <w:bCs/>
          <w:i/>
          <w:iCs/>
          <w:color w:val="000000"/>
          <w:sz w:val="20"/>
          <w:szCs w:val="20"/>
          <w:lang w:val="es-ES"/>
        </w:rPr>
      </w:pPr>
      <w:r w:rsidRPr="00F567A2">
        <w:rPr>
          <w:rFonts w:ascii="Arial" w:hAnsi="Arial" w:cs="Arial"/>
          <w:bCs/>
          <w:i/>
          <w:iCs/>
          <w:color w:val="000000"/>
          <w:sz w:val="20"/>
          <w:szCs w:val="20"/>
          <w:lang w:val="es-ES"/>
        </w:rPr>
        <w:t xml:space="preserve">Nota. Extraído de la página oficial de CELEC EP </w:t>
      </w:r>
      <w:proofErr w:type="spellStart"/>
      <w:r w:rsidRPr="00F567A2">
        <w:rPr>
          <w:rFonts w:ascii="Arial" w:hAnsi="Arial" w:cs="Arial"/>
          <w:bCs/>
          <w:i/>
          <w:iCs/>
          <w:color w:val="000000"/>
          <w:sz w:val="20"/>
          <w:szCs w:val="20"/>
          <w:lang w:val="es-ES"/>
        </w:rPr>
        <w:t>Termomanabí</w:t>
      </w:r>
      <w:proofErr w:type="spellEnd"/>
      <w:r w:rsidRPr="00F567A2">
        <w:rPr>
          <w:rFonts w:ascii="Arial" w:hAnsi="Arial" w:cs="Arial"/>
          <w:bCs/>
          <w:i/>
          <w:iCs/>
          <w:color w:val="000000"/>
          <w:sz w:val="20"/>
          <w:szCs w:val="20"/>
          <w:lang w:val="es-ES"/>
        </w:rPr>
        <w:t>, liquidación presupuestaria (2022)</w:t>
      </w:r>
      <w:r>
        <w:rPr>
          <w:rFonts w:ascii="Arial" w:hAnsi="Arial" w:cs="Arial"/>
          <w:bCs/>
          <w:i/>
          <w:iCs/>
          <w:color w:val="000000"/>
          <w:sz w:val="20"/>
          <w:szCs w:val="20"/>
          <w:lang w:val="es-ES"/>
        </w:rPr>
        <w:t>.</w:t>
      </w:r>
    </w:p>
    <w:p w14:paraId="44D27604" w14:textId="77777777" w:rsidR="00F567A2" w:rsidRPr="00F567A2" w:rsidRDefault="00F567A2" w:rsidP="00F567A2">
      <w:pPr>
        <w:widowControl w:val="0"/>
        <w:spacing w:after="0" w:line="276" w:lineRule="auto"/>
        <w:jc w:val="both"/>
        <w:rPr>
          <w:rFonts w:ascii="Arial" w:hAnsi="Arial" w:cs="Arial"/>
          <w:bCs/>
          <w:i/>
          <w:iCs/>
          <w:color w:val="000000"/>
          <w:sz w:val="20"/>
          <w:szCs w:val="20"/>
          <w:lang w:val="es-ES"/>
        </w:rPr>
      </w:pPr>
    </w:p>
    <w:p w14:paraId="4A3072DA" w14:textId="77777777" w:rsidR="00F567A2" w:rsidRPr="00F567A2" w:rsidRDefault="00F567A2" w:rsidP="00F567A2">
      <w:pPr>
        <w:spacing w:before="240" w:line="276" w:lineRule="auto"/>
        <w:jc w:val="both"/>
        <w:rPr>
          <w:rFonts w:ascii="Arial" w:hAnsi="Arial" w:cs="Arial"/>
          <w:i/>
          <w:iCs/>
          <w:sz w:val="20"/>
          <w:szCs w:val="20"/>
          <w:lang w:val="es-ES"/>
        </w:rPr>
        <w:sectPr w:rsidR="00F567A2" w:rsidRPr="00F567A2" w:rsidSect="00F567A2">
          <w:type w:val="continuous"/>
          <w:pgSz w:w="11906" w:h="16838"/>
          <w:pgMar w:top="1417" w:right="1701" w:bottom="1417" w:left="1701" w:header="708" w:footer="708" w:gutter="0"/>
          <w:cols w:space="708"/>
          <w:docGrid w:linePitch="360"/>
        </w:sectPr>
      </w:pPr>
    </w:p>
    <w:p w14:paraId="6F253F51"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Los datos de la tabla 4, indican que durante el año 2022 CELEC EP </w:t>
      </w:r>
      <w:proofErr w:type="spellStart"/>
      <w:r w:rsidRPr="00F567A2">
        <w:rPr>
          <w:rFonts w:ascii="Arial" w:hAnsi="Arial" w:cs="Arial"/>
          <w:sz w:val="24"/>
          <w:szCs w:val="24"/>
        </w:rPr>
        <w:t>Termomanabí</w:t>
      </w:r>
      <w:proofErr w:type="spellEnd"/>
      <w:r w:rsidRPr="00F567A2">
        <w:rPr>
          <w:rFonts w:ascii="Arial" w:hAnsi="Arial" w:cs="Arial"/>
          <w:sz w:val="24"/>
          <w:szCs w:val="24"/>
        </w:rPr>
        <w:t xml:space="preserve"> tuvo un presupuesto total de $976.025.457,42 del cual $684.871.557,27 corresponden a ingresos corrientes y $291.153.900,15 a ingresos de inversión. Los egresos o gastos ascendieron a un total de $697.907.149,98 donde $572.971.737,78 son gastos corrientes, por lo que presentó un cumplimiento del presupuesto corriente del 83.66%. Por otra parte, los gastos de inversión fueron de $124.935.412,20 mostrando un nivel de cumplimiento del presupuesto </w:t>
      </w:r>
      <w:proofErr w:type="gramStart"/>
      <w:r w:rsidRPr="00F567A2">
        <w:rPr>
          <w:rFonts w:ascii="Arial" w:hAnsi="Arial" w:cs="Arial"/>
          <w:sz w:val="24"/>
          <w:szCs w:val="24"/>
        </w:rPr>
        <w:t>en relación a</w:t>
      </w:r>
      <w:proofErr w:type="gramEnd"/>
      <w:r w:rsidRPr="00F567A2">
        <w:rPr>
          <w:rFonts w:ascii="Arial" w:hAnsi="Arial" w:cs="Arial"/>
          <w:sz w:val="24"/>
          <w:szCs w:val="24"/>
        </w:rPr>
        <w:t xml:space="preserve"> este grupo del 42.91%. De </w:t>
      </w:r>
      <w:r w:rsidRPr="00F567A2">
        <w:rPr>
          <w:rFonts w:ascii="Arial" w:hAnsi="Arial" w:cs="Arial"/>
          <w:sz w:val="24"/>
          <w:szCs w:val="24"/>
        </w:rPr>
        <w:t xml:space="preserve">manera general, en la gestión del presupuesto se observa un cumplimiento del 71.51%, en tanto, se evidencia que la administración de los recursos de la institución se realiza </w:t>
      </w:r>
      <w:proofErr w:type="gramStart"/>
      <w:r w:rsidRPr="00F567A2">
        <w:rPr>
          <w:rFonts w:ascii="Arial" w:hAnsi="Arial" w:cs="Arial"/>
          <w:sz w:val="24"/>
          <w:szCs w:val="24"/>
        </w:rPr>
        <w:t>de acuerdo a</w:t>
      </w:r>
      <w:proofErr w:type="gramEnd"/>
      <w:r w:rsidRPr="00F567A2">
        <w:rPr>
          <w:rFonts w:ascii="Arial" w:hAnsi="Arial" w:cs="Arial"/>
          <w:sz w:val="24"/>
          <w:szCs w:val="24"/>
        </w:rPr>
        <w:t xml:space="preserve"> los parámetros, normativa y demás disposiciones legales que contribuyen a la ejecución adecuada de los procesos que desarrollan en CELEC EP </w:t>
      </w:r>
      <w:proofErr w:type="spellStart"/>
      <w:r w:rsidRPr="00F567A2">
        <w:rPr>
          <w:rFonts w:ascii="Arial" w:hAnsi="Arial" w:cs="Arial"/>
          <w:sz w:val="24"/>
          <w:szCs w:val="24"/>
        </w:rPr>
        <w:t>Termomanabí</w:t>
      </w:r>
      <w:proofErr w:type="spellEnd"/>
      <w:r w:rsidRPr="00F567A2">
        <w:rPr>
          <w:rFonts w:ascii="Arial" w:hAnsi="Arial" w:cs="Arial"/>
          <w:sz w:val="24"/>
          <w:szCs w:val="24"/>
        </w:rPr>
        <w:t>.</w:t>
      </w:r>
    </w:p>
    <w:p w14:paraId="02FAE7FD" w14:textId="590647A0" w:rsidR="00F567A2" w:rsidRPr="00F567A2" w:rsidRDefault="00F567A2" w:rsidP="00F567A2">
      <w:pPr>
        <w:spacing w:before="240" w:line="360" w:lineRule="auto"/>
        <w:jc w:val="both"/>
        <w:rPr>
          <w:rFonts w:ascii="Arial" w:hAnsi="Arial" w:cs="Arial"/>
          <w:b/>
          <w:bCs/>
          <w:sz w:val="24"/>
          <w:szCs w:val="24"/>
        </w:rPr>
      </w:pPr>
      <w:r w:rsidRPr="00F567A2">
        <w:rPr>
          <w:rFonts w:ascii="Arial" w:hAnsi="Arial" w:cs="Arial"/>
          <w:b/>
          <w:bCs/>
          <w:sz w:val="24"/>
          <w:szCs w:val="24"/>
        </w:rPr>
        <w:t>Discusión</w:t>
      </w:r>
    </w:p>
    <w:p w14:paraId="6EA27534"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El control previo al pago es un proceso implantado en las instituciones públicas y está fundamentado en el cumplimiento de la Ley Orgánica del Sistema de </w:t>
      </w:r>
      <w:r w:rsidRPr="00F567A2">
        <w:rPr>
          <w:rFonts w:ascii="Arial" w:hAnsi="Arial" w:cs="Arial"/>
          <w:sz w:val="24"/>
          <w:szCs w:val="24"/>
        </w:rPr>
        <w:lastRenderedPageBreak/>
        <w:t>Contratación Pública, su reglamento y procedimientos internos establecidos basados en la Norma de Control Interno y demás disposiciones relacionadas, con el fin de garantizar la eficiencia en el proceso de liquidación de deudas a contratistas. Por ello, Urquizo (2018) destaca que es importante que el personal que desempeña dichas funciones conozca el procedimiento para cada proceso de pago, ya que de esta manera se podrá llevar a cabo todas las actividades relacionadas de manera ordenada, sistemática e integral, evitando pérdida de tiempo al momento de su revisión.</w:t>
      </w:r>
    </w:p>
    <w:p w14:paraId="697730BF"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Así también, Mendoza et al. (2018) menciona que, el control interno especialmente en el área financiera parte de políticas y prácticas necesarias para asegurar una apropiada planificación y administración de los recursos de la institución, de manera que garantice el desarrollo profesional y asegure la transparencia, eficacia y vocación de servicio. Ruiz &amp; Delgado (2020) destacan que, un buen control interno mejora los resultados en ejecución de recursos públicos, refuerza los sistemas administrativos </w:t>
      </w:r>
      <w:r w:rsidRPr="00F567A2">
        <w:rPr>
          <w:rFonts w:ascii="Arial" w:hAnsi="Arial" w:cs="Arial"/>
          <w:sz w:val="24"/>
          <w:szCs w:val="24"/>
        </w:rPr>
        <w:t>que están vinculados con la eficiencia del gasto desde la formulación y ejecución de compras, logística y almacén.</w:t>
      </w:r>
    </w:p>
    <w:p w14:paraId="1C95ECAD"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El control previo al pago permite realizar la revisión, análisis y juicio de la documentación </w:t>
      </w:r>
      <w:proofErr w:type="spellStart"/>
      <w:r w:rsidRPr="00F567A2">
        <w:rPr>
          <w:rFonts w:ascii="Arial" w:hAnsi="Arial" w:cs="Arial"/>
          <w:sz w:val="24"/>
          <w:szCs w:val="24"/>
        </w:rPr>
        <w:t>sustentatoria</w:t>
      </w:r>
      <w:proofErr w:type="spellEnd"/>
      <w:r w:rsidRPr="00F567A2">
        <w:rPr>
          <w:rFonts w:ascii="Arial" w:hAnsi="Arial" w:cs="Arial"/>
          <w:sz w:val="24"/>
          <w:szCs w:val="24"/>
        </w:rPr>
        <w:t xml:space="preserve"> sin influencias internas y externas de ninguna índole, en el marco de una normativa que delimita dicho proceso de control, de esta manera se garantiza la transparencia, la rendición de cuentas y la confianza en la gestión de recursos públicos, aunque existen ocasiones en que se presentan errores comunes que limitan su implementación efectiva (Loayza et al., 2022).</w:t>
      </w:r>
    </w:p>
    <w:p w14:paraId="3EA561CB"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En el control previo al pago de las contrataciones efectuadas en la institución pública analizada, se han identificado errores de forma, siendo el más común la falta de los roles de pago de los empleados para identificar los ingresos, así como del informe de actividades que justifique los desembolsos. Esto coincide con los resultados de García (2023), quien muestra que el 20% de los procesos analizados previo al pago presentaron deficiencias en los requisitos de documentos. Otro estudio donde se encuestó a los </w:t>
      </w:r>
      <w:r w:rsidRPr="00F567A2">
        <w:rPr>
          <w:rFonts w:ascii="Arial" w:hAnsi="Arial" w:cs="Arial"/>
          <w:sz w:val="24"/>
          <w:szCs w:val="24"/>
        </w:rPr>
        <w:lastRenderedPageBreak/>
        <w:t xml:space="preserve">servidores de una institución </w:t>
      </w:r>
      <w:proofErr w:type="gramStart"/>
      <w:r w:rsidRPr="00F567A2">
        <w:rPr>
          <w:rFonts w:ascii="Arial" w:hAnsi="Arial" w:cs="Arial"/>
          <w:sz w:val="24"/>
          <w:szCs w:val="24"/>
        </w:rPr>
        <w:t>pública,</w:t>
      </w:r>
      <w:proofErr w:type="gramEnd"/>
      <w:r w:rsidRPr="00F567A2">
        <w:rPr>
          <w:rFonts w:ascii="Arial" w:hAnsi="Arial" w:cs="Arial"/>
          <w:sz w:val="24"/>
          <w:szCs w:val="24"/>
        </w:rPr>
        <w:t xml:space="preserve"> menciona que el 75% del personal indicó que regularmente en el control previo al pago realizado en el área de Tesorería se identifican errores como falta de firmas y documentos incompletos que son fundamentales para dar paso a la liquidación de los contratos (</w:t>
      </w:r>
      <w:proofErr w:type="spellStart"/>
      <w:r w:rsidRPr="00F567A2">
        <w:rPr>
          <w:rFonts w:ascii="Arial" w:hAnsi="Arial" w:cs="Arial"/>
          <w:sz w:val="24"/>
          <w:szCs w:val="24"/>
        </w:rPr>
        <w:t>Kinzler</w:t>
      </w:r>
      <w:proofErr w:type="spellEnd"/>
      <w:r w:rsidRPr="00F567A2">
        <w:rPr>
          <w:rFonts w:ascii="Arial" w:hAnsi="Arial" w:cs="Arial"/>
          <w:sz w:val="24"/>
          <w:szCs w:val="24"/>
        </w:rPr>
        <w:t>, 2023).  Por otra parte, Estrada (2023) difiere de estos resultados ya que en su investigación no se encontraron errores de este tipo en los requerimientos que deben cumplir los proveedores previos al pago, ya que estos procesos no requieren de documentos más complejos.</w:t>
      </w:r>
    </w:p>
    <w:p w14:paraId="69A58462"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Como parte del control previo es importante se diseñe una lista de verificación que contemple cada uno de los requisitos que deben contener los pagos y adjuntarlo al comprobante de pago con la firma de los servidores que intervienen en la actividad de control, de esta manera se podrían evitar hallazgos de auditoría en los exámenes especiales efectuados por los organismos de control (Bartolomé &amp; Zambrano, 2019). </w:t>
      </w:r>
    </w:p>
    <w:p w14:paraId="732CD432" w14:textId="60F6AC99" w:rsidR="00403E76" w:rsidRDefault="00F567A2" w:rsidP="005D5E78">
      <w:pPr>
        <w:spacing w:before="240" w:line="360" w:lineRule="auto"/>
        <w:jc w:val="both"/>
        <w:rPr>
          <w:rFonts w:ascii="Arial" w:hAnsi="Arial" w:cs="Arial"/>
          <w:sz w:val="24"/>
          <w:szCs w:val="24"/>
        </w:rPr>
      </w:pPr>
      <w:r w:rsidRPr="00F567A2">
        <w:rPr>
          <w:rFonts w:ascii="Arial" w:hAnsi="Arial" w:cs="Arial"/>
          <w:sz w:val="24"/>
          <w:szCs w:val="24"/>
        </w:rPr>
        <w:t xml:space="preserve">No se observó incumplimiento de la norma de control interno 403-08 Control previo al pago en CELEC EP </w:t>
      </w:r>
      <w:proofErr w:type="spellStart"/>
      <w:r w:rsidRPr="00F567A2">
        <w:rPr>
          <w:rFonts w:ascii="Arial" w:hAnsi="Arial" w:cs="Arial"/>
          <w:sz w:val="24"/>
          <w:szCs w:val="24"/>
        </w:rPr>
        <w:t>Termomanabí</w:t>
      </w:r>
      <w:proofErr w:type="spellEnd"/>
      <w:r w:rsidRPr="00F567A2">
        <w:rPr>
          <w:rFonts w:ascii="Arial" w:hAnsi="Arial" w:cs="Arial"/>
          <w:sz w:val="24"/>
          <w:szCs w:val="24"/>
        </w:rPr>
        <w:t xml:space="preserve"> según los informes de auditorías efectuadas en el año 2022. Según Mendoza &amp; Escobar (2023), es importante el cumplimiento de esta norma ya que garantiza y justifica la necesidad de realizar dicha acción, lo servidores públicos según las funciones asignadas deberán generar registros adecuados que hagan efectivos los propósitos de transparencia y rendición de cuentas.</w:t>
      </w:r>
    </w:p>
    <w:p w14:paraId="1A1FF499" w14:textId="77777777" w:rsidR="005D5E78" w:rsidRPr="005D5E78" w:rsidRDefault="005D5E78" w:rsidP="004B1619">
      <w:pPr>
        <w:spacing w:before="240" w:line="360" w:lineRule="auto"/>
        <w:jc w:val="both"/>
        <w:rPr>
          <w:rFonts w:ascii="Arial" w:hAnsi="Arial" w:cs="Arial"/>
          <w:sz w:val="10"/>
          <w:szCs w:val="10"/>
        </w:rPr>
      </w:pPr>
    </w:p>
    <w:p w14:paraId="5EA45EFD" w14:textId="01860425" w:rsidR="005C6210" w:rsidRPr="00401176" w:rsidRDefault="00826B84" w:rsidP="00332AD3">
      <w:pPr>
        <w:pStyle w:val="Prrafodelista"/>
        <w:numPr>
          <w:ilvl w:val="0"/>
          <w:numId w:val="1"/>
        </w:numPr>
        <w:spacing w:before="240" w:line="360" w:lineRule="auto"/>
        <w:jc w:val="both"/>
        <w:rPr>
          <w:rFonts w:ascii="Arial" w:hAnsi="Arial" w:cs="Arial"/>
          <w:b/>
          <w:bCs/>
          <w:sz w:val="24"/>
          <w:szCs w:val="24"/>
        </w:rPr>
      </w:pPr>
      <w:r>
        <w:rPr>
          <w:rFonts w:ascii="Arial" w:hAnsi="Arial" w:cs="Arial"/>
          <w:b/>
          <w:bCs/>
          <w:sz w:val="24"/>
          <w:szCs w:val="24"/>
        </w:rPr>
        <w:t>C</w:t>
      </w:r>
      <w:r w:rsidR="005C6210" w:rsidRPr="00401176">
        <w:rPr>
          <w:rFonts w:ascii="Arial" w:hAnsi="Arial" w:cs="Arial"/>
          <w:b/>
          <w:bCs/>
          <w:sz w:val="24"/>
          <w:szCs w:val="24"/>
        </w:rPr>
        <w:t>onclusiones</w:t>
      </w:r>
    </w:p>
    <w:p w14:paraId="09E121D5"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El proceso de control previo al pago desarrollado por CELEC EP </w:t>
      </w:r>
      <w:proofErr w:type="spellStart"/>
      <w:r w:rsidRPr="00F567A2">
        <w:rPr>
          <w:rFonts w:ascii="Arial" w:hAnsi="Arial" w:cs="Arial"/>
          <w:sz w:val="24"/>
          <w:szCs w:val="24"/>
        </w:rPr>
        <w:t>Termomanabí</w:t>
      </w:r>
      <w:proofErr w:type="spellEnd"/>
      <w:r w:rsidRPr="00F567A2">
        <w:rPr>
          <w:rFonts w:ascii="Arial" w:hAnsi="Arial" w:cs="Arial"/>
          <w:sz w:val="24"/>
          <w:szCs w:val="24"/>
        </w:rPr>
        <w:t xml:space="preserve"> se ejecuta en función de procedimientos internos cuyos parámetros están establecidos conforme a la Ley Orgánica Sistema Nacional de Contratación Pública (LOSNCP) y Normas de Control Interno que regulan a las instituciones del sector público del Ecuador, de esta manera se reduce el riesgo de que se presenten errores o fallas en la liquidación de las contrataciones realizadas y por tanto, se evitan que existan hallazgos u observaciones relacionadas con el cumplimiento de la norma referente al compromiso y devengado en la administración de </w:t>
      </w:r>
      <w:r w:rsidRPr="00F567A2">
        <w:rPr>
          <w:rFonts w:ascii="Arial" w:hAnsi="Arial" w:cs="Arial"/>
          <w:sz w:val="24"/>
          <w:szCs w:val="24"/>
        </w:rPr>
        <w:lastRenderedPageBreak/>
        <w:t>recursos en futuras acciones de control llevadas a cabo por el organismo de control respectivo, en este caso la Contraloría General del Estado.</w:t>
      </w:r>
    </w:p>
    <w:p w14:paraId="1CDB9830" w14:textId="77777777" w:rsidR="00F567A2" w:rsidRPr="00F567A2" w:rsidRDefault="00F567A2" w:rsidP="00F567A2">
      <w:pPr>
        <w:spacing w:before="240" w:line="360" w:lineRule="auto"/>
        <w:jc w:val="both"/>
        <w:rPr>
          <w:rFonts w:ascii="Arial" w:hAnsi="Arial" w:cs="Arial"/>
          <w:sz w:val="24"/>
          <w:szCs w:val="24"/>
        </w:rPr>
      </w:pPr>
      <w:r w:rsidRPr="00F567A2">
        <w:rPr>
          <w:rFonts w:ascii="Arial" w:hAnsi="Arial" w:cs="Arial"/>
          <w:sz w:val="24"/>
          <w:szCs w:val="24"/>
        </w:rPr>
        <w:t>Dentro del proceso de control previo al pago llevado a cabo en tesorería se identificaron errores de forma en la documentación presentada por los proveedores de bienes y servicios, que generalmente, son por falta de firmas o documentación incompleta, mismos que inciden en ocasiones que no se puedan realizar los pagos en los plazos establecidos.</w:t>
      </w:r>
    </w:p>
    <w:p w14:paraId="2BE38555" w14:textId="143D562F" w:rsidR="00403E76" w:rsidRDefault="00F567A2" w:rsidP="00F567A2">
      <w:pPr>
        <w:spacing w:before="240" w:line="360" w:lineRule="auto"/>
        <w:jc w:val="both"/>
        <w:rPr>
          <w:rFonts w:ascii="Arial" w:hAnsi="Arial" w:cs="Arial"/>
          <w:sz w:val="24"/>
          <w:szCs w:val="24"/>
        </w:rPr>
      </w:pPr>
      <w:r w:rsidRPr="00F567A2">
        <w:rPr>
          <w:rFonts w:ascii="Arial" w:hAnsi="Arial" w:cs="Arial"/>
          <w:sz w:val="24"/>
          <w:szCs w:val="24"/>
        </w:rPr>
        <w:t xml:space="preserve">Durante el año 2022 la institución presentó un cumplimiento de la ejecución presupuesta del 71.51% y en los exámenes especiales a los que estuvo sujeta durante ese año no presentó ninguna observación sobre el cumplimiento de las Normas de Control Interno que hacen alusión al compromiso, devengado y control previo al pago. De esta manera, se puede deducir que existió una adecuada administración de los recursos en CELEC EP </w:t>
      </w:r>
      <w:proofErr w:type="spellStart"/>
      <w:r w:rsidRPr="00F567A2">
        <w:rPr>
          <w:rFonts w:ascii="Arial" w:hAnsi="Arial" w:cs="Arial"/>
          <w:sz w:val="24"/>
          <w:szCs w:val="24"/>
        </w:rPr>
        <w:t>Termomanabí</w:t>
      </w:r>
      <w:proofErr w:type="spellEnd"/>
      <w:r w:rsidRPr="00F567A2">
        <w:rPr>
          <w:rFonts w:ascii="Arial" w:hAnsi="Arial" w:cs="Arial"/>
          <w:sz w:val="24"/>
          <w:szCs w:val="24"/>
        </w:rPr>
        <w:t>.</w:t>
      </w:r>
    </w:p>
    <w:p w14:paraId="102004F2" w14:textId="77777777" w:rsidR="00F567A2" w:rsidRDefault="00F567A2" w:rsidP="00F567A2">
      <w:pPr>
        <w:spacing w:before="240" w:line="360" w:lineRule="auto"/>
        <w:jc w:val="both"/>
        <w:rPr>
          <w:rFonts w:ascii="Arial" w:hAnsi="Arial" w:cs="Arial"/>
          <w:sz w:val="24"/>
          <w:szCs w:val="24"/>
        </w:rPr>
      </w:pPr>
    </w:p>
    <w:p w14:paraId="6744C9C4" w14:textId="77777777" w:rsidR="00403E76" w:rsidRDefault="00403E76" w:rsidP="003C7B72">
      <w:pPr>
        <w:spacing w:before="240" w:line="360" w:lineRule="auto"/>
        <w:jc w:val="both"/>
        <w:rPr>
          <w:rFonts w:ascii="Arial" w:hAnsi="Arial" w:cs="Arial"/>
          <w:sz w:val="24"/>
          <w:szCs w:val="24"/>
        </w:rPr>
      </w:pPr>
    </w:p>
    <w:p w14:paraId="016ECF0E" w14:textId="2F35CE72" w:rsidR="005C1D8A" w:rsidRPr="00B41EBD" w:rsidRDefault="002C3A06" w:rsidP="005C1D8A">
      <w:pPr>
        <w:spacing w:line="360" w:lineRule="auto"/>
        <w:jc w:val="both"/>
        <w:rPr>
          <w:rFonts w:ascii="Arial" w:hAnsi="Arial" w:cs="Arial"/>
          <w:bCs/>
          <w:color w:val="000000" w:themeColor="text1"/>
          <w:sz w:val="24"/>
          <w:szCs w:val="24"/>
        </w:rPr>
      </w:pPr>
      <w:r w:rsidRPr="00B41EBD">
        <w:rPr>
          <w:rFonts w:ascii="Arial" w:hAnsi="Arial" w:cs="Arial"/>
          <w:b/>
          <w:bCs/>
          <w:color w:val="000000" w:themeColor="text1"/>
          <w:sz w:val="24"/>
        </w:rPr>
        <w:t>Bibliografía</w:t>
      </w:r>
    </w:p>
    <w:p w14:paraId="01D1FB80"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Arteta, Y. (2019). El control interno y su incidencia en la gestión de tesorería de las Universidades Públicas de la Región Puno. Revista de </w:t>
      </w:r>
      <w:proofErr w:type="gramStart"/>
      <w:r w:rsidRPr="00F567A2">
        <w:rPr>
          <w:rFonts w:ascii="Arial" w:eastAsia="Georgia" w:hAnsi="Arial" w:cs="Arial"/>
          <w:sz w:val="24"/>
          <w:szCs w:val="24"/>
        </w:rPr>
        <w:t>Investigaciones ,</w:t>
      </w:r>
      <w:proofErr w:type="gramEnd"/>
      <w:r w:rsidRPr="00F567A2">
        <w:rPr>
          <w:rFonts w:ascii="Arial" w:eastAsia="Georgia" w:hAnsi="Arial" w:cs="Arial"/>
          <w:sz w:val="24"/>
          <w:szCs w:val="24"/>
        </w:rPr>
        <w:t xml:space="preserve"> 8(4), 1254–1261. https://doi.org/10.26788/RIEPG.V8I4.1110</w:t>
      </w:r>
    </w:p>
    <w:p w14:paraId="6FA9FFD1"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Bartolomé, J., &amp; Zambrano, M. (2019). Procedimientos de control interno para los Gobiernos Autónomos Descentralizados Parroquiales del cantón Chone. Revista Observatorio de La Economía Latinoamericana, 1(1), 1–13. https://www.eumed.net/rev/oel/2019/09/control-interno-gobiernos.html</w:t>
      </w:r>
    </w:p>
    <w:p w14:paraId="67C7D61C"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CELEC EP </w:t>
      </w:r>
      <w:proofErr w:type="spellStart"/>
      <w:r w:rsidRPr="00F567A2">
        <w:rPr>
          <w:rFonts w:ascii="Arial" w:eastAsia="Georgia" w:hAnsi="Arial" w:cs="Arial"/>
          <w:sz w:val="24"/>
          <w:szCs w:val="24"/>
        </w:rPr>
        <w:t>Termomanabí</w:t>
      </w:r>
      <w:proofErr w:type="spellEnd"/>
      <w:r w:rsidRPr="00F567A2">
        <w:rPr>
          <w:rFonts w:ascii="Arial" w:eastAsia="Georgia" w:hAnsi="Arial" w:cs="Arial"/>
          <w:sz w:val="24"/>
          <w:szCs w:val="24"/>
        </w:rPr>
        <w:t>. (2022). Procesos precontractuales, contractuales, de adjudicación y liquidación, de las contrataciones de bienes, prestación de servicios, arrendamientos mercantiles. Transparencia 2022. https://www.celec.gob.ec/images/lotaip/2022/12Diciembre/iProcContrataciones.pdf</w:t>
      </w:r>
    </w:p>
    <w:p w14:paraId="786DD133"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Contraloría General del Estado. (2023). Normas de Control Interno para las entidades, organismos del sector público y de las personas jurídicas de derecho privado que dispongan de recursos </w:t>
      </w:r>
      <w:r w:rsidRPr="00F567A2">
        <w:rPr>
          <w:rFonts w:ascii="Arial" w:eastAsia="Georgia" w:hAnsi="Arial" w:cs="Arial"/>
          <w:sz w:val="24"/>
          <w:szCs w:val="24"/>
        </w:rPr>
        <w:lastRenderedPageBreak/>
        <w:t xml:space="preserve">públicos. </w:t>
      </w:r>
      <w:proofErr w:type="spellStart"/>
      <w:r w:rsidRPr="00F567A2">
        <w:rPr>
          <w:rFonts w:ascii="Arial" w:eastAsia="Georgia" w:hAnsi="Arial" w:cs="Arial"/>
          <w:sz w:val="24"/>
          <w:szCs w:val="24"/>
        </w:rPr>
        <w:t>Contraloria.Gob</w:t>
      </w:r>
      <w:proofErr w:type="spellEnd"/>
      <w:r w:rsidRPr="00F567A2">
        <w:rPr>
          <w:rFonts w:ascii="Arial" w:eastAsia="Georgia" w:hAnsi="Arial" w:cs="Arial"/>
          <w:sz w:val="24"/>
          <w:szCs w:val="24"/>
        </w:rPr>
        <w:t>. https://www.contraloria.gob.ec/WFDescarga.aspx?id=1486&amp;tipo=mul</w:t>
      </w:r>
    </w:p>
    <w:p w14:paraId="27FF9A59"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lang w:val="en-US"/>
        </w:rPr>
      </w:pPr>
      <w:r w:rsidRPr="00F567A2">
        <w:rPr>
          <w:rFonts w:ascii="Arial" w:eastAsia="Georgia" w:hAnsi="Arial" w:cs="Arial"/>
          <w:sz w:val="24"/>
          <w:szCs w:val="24"/>
        </w:rPr>
        <w:t xml:space="preserve">Corporación Eléctrica del Ecuador. (2022). Reseña Histórica. </w:t>
      </w:r>
      <w:r w:rsidRPr="00F567A2">
        <w:rPr>
          <w:rFonts w:ascii="Arial" w:eastAsia="Georgia" w:hAnsi="Arial" w:cs="Arial"/>
          <w:sz w:val="24"/>
          <w:szCs w:val="24"/>
          <w:lang w:val="en-US"/>
        </w:rPr>
        <w:t>CELEC EP. https://www.celec.gob.ec/termomanabi/resena-historica/</w:t>
      </w:r>
    </w:p>
    <w:p w14:paraId="13D115E3"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Estrada, M. (2023). Control interno y su incidencia en el proceso de pagos por compras públicas en las contrataciones por catálogo electrónico e ínfima cuantía en Unidades Desconcentradas de una Entidad de Fiscalización Superior del Ecuador [Tesis de maestría. Universidad Católica de Santiago de Guayaquil]. http://repositorio.ucsg.edu.ec/bitstream/3317/21360/1/T-UCSG-POS-MCAGT-31.pdf</w:t>
      </w:r>
    </w:p>
    <w:p w14:paraId="574158DD"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García, L. (2023). Control previo en el proceso de pagos del área de tesorería de </w:t>
      </w:r>
      <w:proofErr w:type="spellStart"/>
      <w:r w:rsidRPr="00F567A2">
        <w:rPr>
          <w:rFonts w:ascii="Arial" w:eastAsia="Georgia" w:hAnsi="Arial" w:cs="Arial"/>
          <w:sz w:val="24"/>
          <w:szCs w:val="24"/>
        </w:rPr>
        <w:t>na</w:t>
      </w:r>
      <w:proofErr w:type="spellEnd"/>
      <w:r w:rsidRPr="00F567A2">
        <w:rPr>
          <w:rFonts w:ascii="Arial" w:eastAsia="Georgia" w:hAnsi="Arial" w:cs="Arial"/>
          <w:sz w:val="24"/>
          <w:szCs w:val="24"/>
        </w:rPr>
        <w:t xml:space="preserve"> Unidad de Gestión </w:t>
      </w:r>
      <w:proofErr w:type="spellStart"/>
      <w:r w:rsidRPr="00F567A2">
        <w:rPr>
          <w:rFonts w:ascii="Arial" w:eastAsia="Georgia" w:hAnsi="Arial" w:cs="Arial"/>
          <w:sz w:val="24"/>
          <w:szCs w:val="24"/>
        </w:rPr>
        <w:t>educativad</w:t>
      </w:r>
      <w:proofErr w:type="spellEnd"/>
      <w:r w:rsidRPr="00F567A2">
        <w:rPr>
          <w:rFonts w:ascii="Arial" w:eastAsia="Georgia" w:hAnsi="Arial" w:cs="Arial"/>
          <w:sz w:val="24"/>
          <w:szCs w:val="24"/>
        </w:rPr>
        <w:t xml:space="preserve"> Local Cajamarca, 2022 [Tesis de maestría. Universidad César Vallejo]. https://repositorio.ucv.edu.pe/bitstream/handle/20.500.12692/122434/Garcia_CL-SD.pdf?sequence=1&amp;isAllowed=y</w:t>
      </w:r>
    </w:p>
    <w:p w14:paraId="00FB075B"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Guevara, G., Verdesoto, A., &amp; Castro, N. (2020). Metodologías de investigación educativa (descriptivas, experimentales, </w:t>
      </w:r>
      <w:r w:rsidRPr="00F567A2">
        <w:rPr>
          <w:rFonts w:ascii="Arial" w:eastAsia="Georgia" w:hAnsi="Arial" w:cs="Arial"/>
          <w:sz w:val="24"/>
          <w:szCs w:val="24"/>
        </w:rPr>
        <w:t>participativa y de investigación acción). Revista Científica Mundo de La Investigación y El Conocimiento, 4(3), 163–173. https://dialnet.unirioja.es/descarga/articulo/7591592.pdf</w:t>
      </w:r>
    </w:p>
    <w:p w14:paraId="3955E535"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proofErr w:type="spellStart"/>
      <w:r w:rsidRPr="00F567A2">
        <w:rPr>
          <w:rFonts w:ascii="Arial" w:eastAsia="Georgia" w:hAnsi="Arial" w:cs="Arial"/>
          <w:sz w:val="24"/>
          <w:szCs w:val="24"/>
        </w:rPr>
        <w:t>Kinzler</w:t>
      </w:r>
      <w:proofErr w:type="spellEnd"/>
      <w:r w:rsidRPr="00F567A2">
        <w:rPr>
          <w:rFonts w:ascii="Arial" w:eastAsia="Georgia" w:hAnsi="Arial" w:cs="Arial"/>
          <w:sz w:val="24"/>
          <w:szCs w:val="24"/>
        </w:rPr>
        <w:t xml:space="preserve">, E. (2023). </w:t>
      </w:r>
      <w:proofErr w:type="spellStart"/>
      <w:r w:rsidRPr="00F567A2">
        <w:rPr>
          <w:rFonts w:ascii="Arial" w:eastAsia="Georgia" w:hAnsi="Arial" w:cs="Arial"/>
          <w:sz w:val="24"/>
          <w:szCs w:val="24"/>
        </w:rPr>
        <w:t>Influência</w:t>
      </w:r>
      <w:proofErr w:type="spellEnd"/>
      <w:r w:rsidRPr="00F567A2">
        <w:rPr>
          <w:rFonts w:ascii="Arial" w:eastAsia="Georgia" w:hAnsi="Arial" w:cs="Arial"/>
          <w:sz w:val="24"/>
          <w:szCs w:val="24"/>
        </w:rPr>
        <w:t xml:space="preserve"> do Controle Interno </w:t>
      </w:r>
      <w:proofErr w:type="spellStart"/>
      <w:r w:rsidRPr="00F567A2">
        <w:rPr>
          <w:rFonts w:ascii="Arial" w:eastAsia="Georgia" w:hAnsi="Arial" w:cs="Arial"/>
          <w:sz w:val="24"/>
          <w:szCs w:val="24"/>
        </w:rPr>
        <w:t>na</w:t>
      </w:r>
      <w:proofErr w:type="spellEnd"/>
      <w:r w:rsidRPr="00F567A2">
        <w:rPr>
          <w:rFonts w:ascii="Arial" w:eastAsia="Georgia" w:hAnsi="Arial" w:cs="Arial"/>
          <w:sz w:val="24"/>
          <w:szCs w:val="24"/>
        </w:rPr>
        <w:t xml:space="preserve"> </w:t>
      </w:r>
      <w:proofErr w:type="spellStart"/>
      <w:r w:rsidRPr="00F567A2">
        <w:rPr>
          <w:rFonts w:ascii="Arial" w:eastAsia="Georgia" w:hAnsi="Arial" w:cs="Arial"/>
          <w:sz w:val="24"/>
          <w:szCs w:val="24"/>
        </w:rPr>
        <w:t>efetividade</w:t>
      </w:r>
      <w:proofErr w:type="spellEnd"/>
      <w:r w:rsidRPr="00F567A2">
        <w:rPr>
          <w:rFonts w:ascii="Arial" w:eastAsia="Georgia" w:hAnsi="Arial" w:cs="Arial"/>
          <w:sz w:val="24"/>
          <w:szCs w:val="24"/>
        </w:rPr>
        <w:t xml:space="preserve"> </w:t>
      </w:r>
      <w:proofErr w:type="gramStart"/>
      <w:r w:rsidRPr="00F567A2">
        <w:rPr>
          <w:rFonts w:ascii="Arial" w:eastAsia="Georgia" w:hAnsi="Arial" w:cs="Arial"/>
          <w:sz w:val="24"/>
          <w:szCs w:val="24"/>
        </w:rPr>
        <w:t xml:space="preserve">da  </w:t>
      </w:r>
      <w:proofErr w:type="spellStart"/>
      <w:r w:rsidRPr="00F567A2">
        <w:rPr>
          <w:rFonts w:ascii="Arial" w:eastAsia="Georgia" w:hAnsi="Arial" w:cs="Arial"/>
          <w:sz w:val="24"/>
          <w:szCs w:val="24"/>
        </w:rPr>
        <w:t>Governança</w:t>
      </w:r>
      <w:proofErr w:type="spellEnd"/>
      <w:proofErr w:type="gramEnd"/>
      <w:r w:rsidRPr="00F567A2">
        <w:rPr>
          <w:rFonts w:ascii="Arial" w:eastAsia="Georgia" w:hAnsi="Arial" w:cs="Arial"/>
          <w:sz w:val="24"/>
          <w:szCs w:val="24"/>
        </w:rPr>
        <w:t xml:space="preserve"> Pública nos </w:t>
      </w:r>
      <w:proofErr w:type="spellStart"/>
      <w:r w:rsidRPr="00F567A2">
        <w:rPr>
          <w:rFonts w:ascii="Arial" w:eastAsia="Georgia" w:hAnsi="Arial" w:cs="Arial"/>
          <w:sz w:val="24"/>
          <w:szCs w:val="24"/>
        </w:rPr>
        <w:t>Municípios</w:t>
      </w:r>
      <w:proofErr w:type="spellEnd"/>
      <w:r w:rsidRPr="00F567A2">
        <w:rPr>
          <w:rFonts w:ascii="Arial" w:eastAsia="Georgia" w:hAnsi="Arial" w:cs="Arial"/>
          <w:sz w:val="24"/>
          <w:szCs w:val="24"/>
        </w:rPr>
        <w:t xml:space="preserve"> Paranaenses [Tesis de maestro. Universidad Estadual do Oeste do Paraná]. https://tede.unioeste.br/handle/tede/6555</w:t>
      </w:r>
    </w:p>
    <w:p w14:paraId="2F46F01B"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Loayza, C., Canales, E., &amp; </w:t>
      </w:r>
      <w:proofErr w:type="spellStart"/>
      <w:r w:rsidRPr="00F567A2">
        <w:rPr>
          <w:rFonts w:ascii="Arial" w:eastAsia="Georgia" w:hAnsi="Arial" w:cs="Arial"/>
          <w:sz w:val="24"/>
          <w:szCs w:val="24"/>
        </w:rPr>
        <w:t>Calvanapón</w:t>
      </w:r>
      <w:proofErr w:type="spellEnd"/>
      <w:r w:rsidRPr="00F567A2">
        <w:rPr>
          <w:rFonts w:ascii="Arial" w:eastAsia="Georgia" w:hAnsi="Arial" w:cs="Arial"/>
          <w:sz w:val="24"/>
          <w:szCs w:val="24"/>
        </w:rPr>
        <w:t xml:space="preserve">, F. (2022). Control previo en la ejecución del gasto de una institución pública - Perú. Revista </w:t>
      </w:r>
      <w:proofErr w:type="spellStart"/>
      <w:r w:rsidRPr="00F567A2">
        <w:rPr>
          <w:rFonts w:ascii="Arial" w:eastAsia="Georgia" w:hAnsi="Arial" w:cs="Arial"/>
          <w:sz w:val="24"/>
          <w:szCs w:val="24"/>
        </w:rPr>
        <w:t>Scientific</w:t>
      </w:r>
      <w:proofErr w:type="spellEnd"/>
      <w:r w:rsidRPr="00F567A2">
        <w:rPr>
          <w:rFonts w:ascii="Arial" w:eastAsia="Georgia" w:hAnsi="Arial" w:cs="Arial"/>
          <w:sz w:val="24"/>
          <w:szCs w:val="24"/>
        </w:rPr>
        <w:t>, 7(25), 137–155. https://doi.org/10.29394/Scientific.issn.2542-2987.2022.7.25.7.137-155</w:t>
      </w:r>
    </w:p>
    <w:p w14:paraId="4F76168C"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Mendoza, J., &amp; Escobar, M. (2023). Control interno en el manejo de recursos públicos en el Gobierno Parroquial Dayuma-Ecuador, periodo 2018 – 2021. 593 </w:t>
      </w:r>
      <w:proofErr w:type="gramStart"/>
      <w:r w:rsidRPr="00F567A2">
        <w:rPr>
          <w:rFonts w:ascii="Arial" w:eastAsia="Georgia" w:hAnsi="Arial" w:cs="Arial"/>
          <w:sz w:val="24"/>
          <w:szCs w:val="24"/>
        </w:rPr>
        <w:t>Digital</w:t>
      </w:r>
      <w:proofErr w:type="gramEnd"/>
      <w:r w:rsidRPr="00F567A2">
        <w:rPr>
          <w:rFonts w:ascii="Arial" w:eastAsia="Georgia" w:hAnsi="Arial" w:cs="Arial"/>
          <w:sz w:val="24"/>
          <w:szCs w:val="24"/>
        </w:rPr>
        <w:t xml:space="preserve"> Publisher CEIT, 8(2–1), 153–166. https://doi.org/10.33386/593dp.2023.2-1.1660</w:t>
      </w:r>
    </w:p>
    <w:p w14:paraId="004BD16E"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Mendoza, W., García, T., Delgado, M., &amp; Barreiro, I. (2018). El control interno y su influencia en la </w:t>
      </w:r>
      <w:proofErr w:type="gramStart"/>
      <w:r w:rsidRPr="00F567A2">
        <w:rPr>
          <w:rFonts w:ascii="Arial" w:eastAsia="Georgia" w:hAnsi="Arial" w:cs="Arial"/>
          <w:sz w:val="24"/>
          <w:szCs w:val="24"/>
        </w:rPr>
        <w:t>gestión  administrativa</w:t>
      </w:r>
      <w:proofErr w:type="gramEnd"/>
      <w:r w:rsidRPr="00F567A2">
        <w:rPr>
          <w:rFonts w:ascii="Arial" w:eastAsia="Georgia" w:hAnsi="Arial" w:cs="Arial"/>
          <w:sz w:val="24"/>
          <w:szCs w:val="24"/>
        </w:rPr>
        <w:t xml:space="preserve"> del sector público. Dominio de Las Ciencias, 4(4), 206–240. </w:t>
      </w:r>
      <w:r w:rsidRPr="00F567A2">
        <w:rPr>
          <w:rFonts w:ascii="Arial" w:eastAsia="Georgia" w:hAnsi="Arial" w:cs="Arial"/>
          <w:sz w:val="24"/>
          <w:szCs w:val="24"/>
        </w:rPr>
        <w:lastRenderedPageBreak/>
        <w:t>https://doi.org/10.23857/dom.cien.pocaip.2018.vol.4.n.4.206-240</w:t>
      </w:r>
    </w:p>
    <w:p w14:paraId="77AE10E5"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Palomino, C. (2022). Influencia de la conformidad y pago a proveedores por la Oficina Nacional de Procesos Electorales. </w:t>
      </w:r>
      <w:proofErr w:type="spellStart"/>
      <w:r w:rsidRPr="00F567A2">
        <w:rPr>
          <w:rFonts w:ascii="Arial" w:eastAsia="Georgia" w:hAnsi="Arial" w:cs="Arial"/>
          <w:sz w:val="24"/>
          <w:szCs w:val="24"/>
        </w:rPr>
        <w:t>TecnoHumanismo</w:t>
      </w:r>
      <w:proofErr w:type="spellEnd"/>
      <w:r w:rsidRPr="00F567A2">
        <w:rPr>
          <w:rFonts w:ascii="Arial" w:eastAsia="Georgia" w:hAnsi="Arial" w:cs="Arial"/>
          <w:sz w:val="24"/>
          <w:szCs w:val="24"/>
        </w:rPr>
        <w:t>, 2(3), 1–10. https://doi.org/10.53673/th.v2i3.175</w:t>
      </w:r>
    </w:p>
    <w:p w14:paraId="6BCB1A46"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Reyes, L., &amp; Carmona, F. (2020). La investigación documental para la comprensión ontológica del objeto de estudio. Universidad Simón Bolívar, 1–4. http://bonga.unisimon.edu.co/handle/20.500.12442/6630</w:t>
      </w:r>
    </w:p>
    <w:p w14:paraId="69BBEC09"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Rhein, V. (2019). El Control Interno de la Administración Pública y la Configuración del Estado Contemporáneo. Redalyc, 5, 51–95. https://www.redalyc.org/journal/6002/600263495010/</w:t>
      </w:r>
    </w:p>
    <w:p w14:paraId="695AF1CE"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Rodríguez, S. (2020). Predicción de ineficiencias en la contratación pública de Bogotá [Tesis de maestría. Universidad del Rosario]. https://repository.urosario.edu.co/server/api/core/bitstreams/ede34db0-ac21-4691-902e-928c4009b1ac/content</w:t>
      </w:r>
    </w:p>
    <w:p w14:paraId="60FB5230"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Ruiz, S., &amp; Delgado, J. (2020). El control interno en el proceso de contrataciones en las instituciones públicas. Ciencia </w:t>
      </w:r>
      <w:r w:rsidRPr="00F567A2">
        <w:rPr>
          <w:rFonts w:ascii="Arial" w:eastAsia="Georgia" w:hAnsi="Arial" w:cs="Arial"/>
          <w:sz w:val="24"/>
          <w:szCs w:val="24"/>
        </w:rPr>
        <w:t>Latina Revista Científica Multidisciplinar, 2, 1333–1350. https://doi.org/10.37811/cl_rcm.v4i2.159</w:t>
      </w:r>
    </w:p>
    <w:p w14:paraId="248CD9ED"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Urquizo, P. (2018). Evaluación del control interno previo al proceso de ejecución de pagos en el departamento financiero del Gobierno Autónomo Descentralizado Municipal del Cantón Riobamba, durante el periodo 2016 [Tesis de grado. Escuela Superior Politécnica de Chimborazo]. http://dspace.espoch.edu.ec/handle/123456789/8974</w:t>
      </w:r>
    </w:p>
    <w:p w14:paraId="4A910E72"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Vera, G. (2016). Análisis al control previo aplicado a los procesos de contratación pública del Gobierno Autónomo Descentralizado de la provincia de Esmeraldas [Tesis de maestría. Pontificia Universidad Católica del Ecuador]. https://repositorio.pucese.edu.ec/bitstream/123456789/850/1/VERA%20BURBANO%20%20GISSELLA%20ROXANA.pdf</w:t>
      </w:r>
    </w:p>
    <w:p w14:paraId="39E411D7" w14:textId="77777777" w:rsidR="00F567A2" w:rsidRP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 xml:space="preserve">Villanueva, F. (2022). Metodología de la </w:t>
      </w:r>
      <w:proofErr w:type="gramStart"/>
      <w:r w:rsidRPr="00F567A2">
        <w:rPr>
          <w:rFonts w:ascii="Arial" w:eastAsia="Georgia" w:hAnsi="Arial" w:cs="Arial"/>
          <w:sz w:val="24"/>
          <w:szCs w:val="24"/>
        </w:rPr>
        <w:t>investigación .</w:t>
      </w:r>
      <w:proofErr w:type="gramEnd"/>
      <w:r w:rsidRPr="00F567A2">
        <w:rPr>
          <w:rFonts w:ascii="Arial" w:eastAsia="Georgia" w:hAnsi="Arial" w:cs="Arial"/>
          <w:sz w:val="24"/>
          <w:szCs w:val="24"/>
        </w:rPr>
        <w:t xml:space="preserve"> </w:t>
      </w:r>
      <w:proofErr w:type="spellStart"/>
      <w:r w:rsidRPr="00F567A2">
        <w:rPr>
          <w:rFonts w:ascii="Arial" w:eastAsia="Georgia" w:hAnsi="Arial" w:cs="Arial"/>
          <w:sz w:val="24"/>
          <w:szCs w:val="24"/>
        </w:rPr>
        <w:t>Klik</w:t>
      </w:r>
      <w:proofErr w:type="spellEnd"/>
      <w:r w:rsidRPr="00F567A2">
        <w:rPr>
          <w:rFonts w:ascii="Arial" w:eastAsia="Georgia" w:hAnsi="Arial" w:cs="Arial"/>
          <w:sz w:val="24"/>
          <w:szCs w:val="24"/>
        </w:rPr>
        <w:t xml:space="preserve"> Soluciones educativas, S.A. de C.V. https://books.google.es/books?hl=es&amp;lr=&amp;id=6e-KEAAAQBAJ&amp;oi=fnd&amp;pg=PP1&amp;dq=metodologia+de+la+investigacion&amp;ots=WGKT2OH</w:t>
      </w:r>
      <w:r w:rsidRPr="00F567A2">
        <w:rPr>
          <w:rFonts w:ascii="Arial" w:eastAsia="Georgia" w:hAnsi="Arial" w:cs="Arial"/>
          <w:sz w:val="24"/>
          <w:szCs w:val="24"/>
        </w:rPr>
        <w:lastRenderedPageBreak/>
        <w:t>Cbv&amp;sig=rEjZro1ZrEmZI523nsfvUEju4nw#v=onepage&amp;q&amp;f=false</w:t>
      </w:r>
    </w:p>
    <w:p w14:paraId="09674457" w14:textId="7D8D4A8E" w:rsidR="00F567A2" w:rsidRDefault="00F567A2" w:rsidP="00F567A2">
      <w:pPr>
        <w:pBdr>
          <w:top w:val="nil"/>
          <w:left w:val="nil"/>
          <w:bottom w:val="nil"/>
          <w:right w:val="nil"/>
          <w:between w:val="nil"/>
        </w:pBdr>
        <w:spacing w:before="240" w:line="276" w:lineRule="auto"/>
        <w:ind w:left="720" w:hanging="720"/>
        <w:jc w:val="both"/>
        <w:rPr>
          <w:rFonts w:ascii="Arial" w:eastAsia="Georgia" w:hAnsi="Arial" w:cs="Arial"/>
          <w:sz w:val="24"/>
          <w:szCs w:val="24"/>
        </w:rPr>
      </w:pPr>
      <w:r w:rsidRPr="00F567A2">
        <w:rPr>
          <w:rFonts w:ascii="Arial" w:eastAsia="Georgia" w:hAnsi="Arial" w:cs="Arial"/>
          <w:sz w:val="24"/>
          <w:szCs w:val="24"/>
        </w:rPr>
        <w:t>Zambrano, C., &amp; Vera, R. (2022). Contribución del control previo al pago a contratistas de obras: Municipalidad cantón Pichincha Manabí. Conciencia Digital, 5(2.1), 222–240. https://doi.org/10.33262/concienciadigital.v5i2.1.2204</w:t>
      </w:r>
    </w:p>
    <w:p w14:paraId="1F8C7224" w14:textId="77777777" w:rsidR="00F567A2" w:rsidRDefault="00F567A2" w:rsidP="005D5E78">
      <w:pPr>
        <w:pBdr>
          <w:top w:val="nil"/>
          <w:left w:val="nil"/>
          <w:bottom w:val="nil"/>
          <w:right w:val="nil"/>
          <w:between w:val="nil"/>
        </w:pBdr>
        <w:spacing w:before="240" w:line="276" w:lineRule="auto"/>
        <w:ind w:left="720" w:hanging="720"/>
        <w:jc w:val="both"/>
        <w:rPr>
          <w:rFonts w:ascii="Arial" w:eastAsia="Georgia" w:hAnsi="Arial" w:cs="Arial"/>
          <w:sz w:val="24"/>
          <w:szCs w:val="24"/>
        </w:rPr>
      </w:pPr>
    </w:p>
    <w:p w14:paraId="7067F203" w14:textId="537EA459" w:rsidR="00446570" w:rsidRPr="00B41EBD" w:rsidRDefault="00446570" w:rsidP="008A590C">
      <w:pPr>
        <w:pBdr>
          <w:top w:val="nil"/>
          <w:left w:val="nil"/>
          <w:bottom w:val="nil"/>
          <w:right w:val="nil"/>
          <w:between w:val="nil"/>
        </w:pBdr>
        <w:spacing w:before="240" w:line="276" w:lineRule="auto"/>
        <w:jc w:val="both"/>
        <w:rPr>
          <w:rFonts w:ascii="Arial" w:eastAsia="Georgia" w:hAnsi="Arial" w:cs="Arial"/>
          <w:sz w:val="24"/>
          <w:szCs w:val="24"/>
        </w:rPr>
      </w:pPr>
    </w:p>
    <w:sectPr w:rsidR="00446570" w:rsidRPr="00B41EBD" w:rsidSect="00330E16">
      <w:type w:val="continuous"/>
      <w:pgSz w:w="11906" w:h="16838"/>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FF3B5" w14:textId="77777777" w:rsidR="00E36295" w:rsidRDefault="00E36295" w:rsidP="006246B1">
      <w:pPr>
        <w:spacing w:after="0" w:line="240" w:lineRule="auto"/>
      </w:pPr>
      <w:r>
        <w:separator/>
      </w:r>
    </w:p>
  </w:endnote>
  <w:endnote w:type="continuationSeparator" w:id="0">
    <w:p w14:paraId="2FE5268B" w14:textId="77777777" w:rsidR="00E36295" w:rsidRDefault="00E36295" w:rsidP="0062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1FDC2" w14:textId="77777777" w:rsidR="00955A51" w:rsidRPr="00B04B7B" w:rsidRDefault="00955A51" w:rsidP="0078236C">
    <w:pPr>
      <w:pStyle w:val="Piedepgina"/>
      <w:jc w:val="right"/>
      <w:rPr>
        <w:rFonts w:ascii="Arial" w:hAnsi="Arial" w:cs="Arial"/>
        <w:iCs/>
        <w:sz w:val="18"/>
        <w:szCs w:val="18"/>
      </w:rPr>
    </w:pPr>
    <w:r w:rsidRPr="00B04B7B">
      <w:rPr>
        <w:rFonts w:ascii="Arial" w:hAnsi="Arial" w:cs="Arial"/>
        <w:iCs/>
        <w:sz w:val="18"/>
        <w:szCs w:val="18"/>
      </w:rPr>
      <w:fldChar w:fldCharType="begin"/>
    </w:r>
    <w:r w:rsidRPr="00B04B7B">
      <w:rPr>
        <w:rFonts w:ascii="Arial" w:hAnsi="Arial" w:cs="Arial"/>
        <w:iCs/>
        <w:sz w:val="18"/>
        <w:szCs w:val="18"/>
      </w:rPr>
      <w:instrText>PAGE   \* MERGEFORMAT</w:instrText>
    </w:r>
    <w:r w:rsidRPr="00B04B7B">
      <w:rPr>
        <w:rFonts w:ascii="Arial" w:hAnsi="Arial" w:cs="Arial"/>
        <w:iCs/>
        <w:sz w:val="18"/>
        <w:szCs w:val="18"/>
      </w:rPr>
      <w:fldChar w:fldCharType="separate"/>
    </w:r>
    <w:r w:rsidRPr="00B04B7B">
      <w:rPr>
        <w:rFonts w:ascii="Arial" w:hAnsi="Arial" w:cs="Arial"/>
        <w:iCs/>
        <w:noProof/>
        <w:sz w:val="18"/>
        <w:szCs w:val="18"/>
        <w:lang w:val="es-ES"/>
      </w:rPr>
      <w:t>4</w:t>
    </w:r>
    <w:r w:rsidRPr="00B04B7B">
      <w:rPr>
        <w:rFonts w:ascii="Arial" w:hAnsi="Arial" w:cs="Arial"/>
        <w:i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B9746" w14:textId="77777777" w:rsidR="00955A51" w:rsidRDefault="00955A51" w:rsidP="006246B1">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042489695"/>
      <w:docPartObj>
        <w:docPartGallery w:val="Page Numbers (Bottom of Page)"/>
        <w:docPartUnique/>
      </w:docPartObj>
    </w:sdtPr>
    <w:sdtEndPr/>
    <w:sdtContent>
      <w:p w14:paraId="3E1D97BB" w14:textId="74B08D5B" w:rsidR="00955A51" w:rsidRPr="005C5F65" w:rsidRDefault="00955A51" w:rsidP="00553AFD">
        <w:pPr>
          <w:pStyle w:val="Piedepgina"/>
          <w:rPr>
            <w:rFonts w:ascii="Arial" w:hAnsi="Arial" w:cs="Arial"/>
            <w:b/>
            <w:color w:val="000000" w:themeColor="text1"/>
            <w:sz w:val="18"/>
            <w:szCs w:val="16"/>
          </w:rPr>
        </w:pPr>
        <w:r w:rsidRPr="00B04B7B">
          <w:rPr>
            <w:rFonts w:ascii="Arial" w:hAnsi="Arial" w:cs="Arial"/>
            <w:b/>
            <w:color w:val="000000" w:themeColor="text1"/>
            <w:sz w:val="18"/>
            <w:szCs w:val="16"/>
          </w:rPr>
          <w:t>Información del manuscrito:</w:t>
        </w:r>
        <w:r w:rsidRPr="00B04B7B">
          <w:rPr>
            <w:rFonts w:ascii="Arial" w:hAnsi="Arial" w:cs="Arial"/>
            <w:b/>
            <w:color w:val="000000" w:themeColor="text1"/>
            <w:sz w:val="18"/>
            <w:szCs w:val="16"/>
          </w:rPr>
          <w:br/>
        </w:r>
        <w:r w:rsidRPr="005C5F65">
          <w:rPr>
            <w:rFonts w:ascii="Arial" w:hAnsi="Arial" w:cs="Arial"/>
            <w:b/>
            <w:color w:val="000000" w:themeColor="text1"/>
            <w:sz w:val="18"/>
            <w:szCs w:val="16"/>
          </w:rPr>
          <w:t xml:space="preserve">Fecha de recepción: </w:t>
        </w:r>
        <w:r w:rsidR="009E3021" w:rsidRPr="009E3021">
          <w:rPr>
            <w:rFonts w:ascii="Arial" w:hAnsi="Arial" w:cs="Arial"/>
            <w:bCs/>
            <w:color w:val="000000" w:themeColor="text1"/>
            <w:sz w:val="18"/>
            <w:szCs w:val="16"/>
          </w:rPr>
          <w:t>03 de julio de 2024</w:t>
        </w:r>
        <w:r w:rsidRPr="00D909FB">
          <w:rPr>
            <w:rFonts w:ascii="Arial" w:hAnsi="Arial" w:cs="Arial"/>
            <w:bCs/>
            <w:color w:val="000000" w:themeColor="text1"/>
            <w:sz w:val="18"/>
            <w:szCs w:val="16"/>
          </w:rPr>
          <w:t>.</w:t>
        </w:r>
      </w:p>
      <w:p w14:paraId="1052B77B" w14:textId="31FE7F81" w:rsidR="00955A51" w:rsidRPr="00D909FB" w:rsidRDefault="00955A51" w:rsidP="00553AFD">
        <w:pPr>
          <w:pStyle w:val="Piedepgina"/>
          <w:rPr>
            <w:rFonts w:ascii="Arial" w:hAnsi="Arial" w:cs="Arial"/>
            <w:bCs/>
            <w:color w:val="000000" w:themeColor="text1"/>
            <w:sz w:val="18"/>
            <w:szCs w:val="16"/>
          </w:rPr>
        </w:pPr>
        <w:r w:rsidRPr="005C5F65">
          <w:rPr>
            <w:rFonts w:ascii="Arial" w:hAnsi="Arial" w:cs="Arial"/>
            <w:b/>
            <w:color w:val="000000" w:themeColor="text1"/>
            <w:sz w:val="18"/>
            <w:szCs w:val="16"/>
          </w:rPr>
          <w:t xml:space="preserve">Fecha de aceptación: </w:t>
        </w:r>
        <w:r w:rsidR="009E3021" w:rsidRPr="009E3021">
          <w:rPr>
            <w:rFonts w:ascii="Arial" w:hAnsi="Arial" w:cs="Arial"/>
            <w:bCs/>
            <w:color w:val="000000" w:themeColor="text1"/>
            <w:sz w:val="18"/>
            <w:szCs w:val="16"/>
          </w:rPr>
          <w:t>09 de septiembre de 2024</w:t>
        </w:r>
        <w:r w:rsidRPr="00D909FB">
          <w:rPr>
            <w:rFonts w:ascii="Arial" w:hAnsi="Arial" w:cs="Arial"/>
            <w:bCs/>
            <w:color w:val="000000" w:themeColor="text1"/>
            <w:sz w:val="18"/>
            <w:szCs w:val="16"/>
          </w:rPr>
          <w:t>.</w:t>
        </w:r>
        <w:r w:rsidRPr="00BD4D2C">
          <w:rPr>
            <w:noProof/>
          </w:rPr>
          <w:t xml:space="preserve"> </w:t>
        </w:r>
      </w:p>
      <w:p w14:paraId="5FD06C68" w14:textId="232838F1" w:rsidR="00955A51" w:rsidRPr="00553AFD" w:rsidRDefault="00955A51" w:rsidP="00B04B7B">
        <w:pPr>
          <w:pStyle w:val="Piedepgina"/>
          <w:rPr>
            <w:rFonts w:asciiTheme="majorHAnsi" w:hAnsiTheme="majorHAnsi" w:cstheme="majorHAnsi"/>
            <w:bCs/>
            <w:i/>
            <w:sz w:val="20"/>
            <w:szCs w:val="20"/>
          </w:rPr>
        </w:pPr>
        <w:r w:rsidRPr="005C5F65">
          <w:rPr>
            <w:rFonts w:ascii="Arial" w:hAnsi="Arial" w:cs="Arial"/>
            <w:b/>
            <w:color w:val="000000" w:themeColor="text1"/>
            <w:sz w:val="18"/>
            <w:szCs w:val="16"/>
          </w:rPr>
          <w:t xml:space="preserve">Fecha de publicación: </w:t>
        </w:r>
        <w:r w:rsidR="009E3021" w:rsidRPr="009E3021">
          <w:rPr>
            <w:rFonts w:ascii="Arial" w:hAnsi="Arial" w:cs="Arial"/>
            <w:bCs/>
            <w:color w:val="000000" w:themeColor="text1"/>
            <w:sz w:val="18"/>
            <w:szCs w:val="16"/>
          </w:rPr>
          <w:t>30 de septiembre de 2024</w:t>
        </w:r>
        <w:r w:rsidRPr="005C5F65">
          <w:rPr>
            <w:rFonts w:ascii="Arial" w:hAnsi="Arial" w:cs="Arial"/>
            <w:bCs/>
            <w:color w:val="000000" w:themeColor="text1"/>
            <w:sz w:val="18"/>
            <w:szCs w:val="16"/>
          </w:rPr>
          <w:t>.</w:t>
        </w:r>
      </w:p>
      <w:p w14:paraId="4AA3C5C6" w14:textId="265495AF" w:rsidR="00955A51" w:rsidRPr="00B04B7B" w:rsidRDefault="00955A51" w:rsidP="00B04B7B">
        <w:pPr>
          <w:pStyle w:val="Piedepgina"/>
          <w:jc w:val="right"/>
          <w:rPr>
            <w:rFonts w:ascii="Arial" w:hAnsi="Arial" w:cs="Arial"/>
          </w:rPr>
        </w:pPr>
        <w:r w:rsidRPr="001762B6">
          <w:rPr>
            <w:noProof/>
          </w:rPr>
          <w:drawing>
            <wp:anchor distT="0" distB="0" distL="114300" distR="114300" simplePos="0" relativeHeight="251683840" behindDoc="0" locked="0" layoutInCell="1" allowOverlap="1" wp14:anchorId="23DA64A3" wp14:editId="242D938F">
              <wp:simplePos x="0" y="0"/>
              <wp:positionH relativeFrom="margin">
                <wp:align>left</wp:align>
              </wp:positionH>
              <wp:positionV relativeFrom="paragraph">
                <wp:posOffset>102870</wp:posOffset>
              </wp:positionV>
              <wp:extent cx="704850" cy="248299"/>
              <wp:effectExtent l="0" t="0" r="0" b="0"/>
              <wp:wrapNone/>
              <wp:docPr id="2" name="Imagen 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4850" cy="248299"/>
                      </a:xfrm>
                      <a:prstGeom prst="rect">
                        <a:avLst/>
                      </a:prstGeom>
                    </pic:spPr>
                  </pic:pic>
                </a:graphicData>
              </a:graphic>
              <wp14:sizeRelH relativeFrom="margin">
                <wp14:pctWidth>0</wp14:pctWidth>
              </wp14:sizeRelH>
              <wp14:sizeRelV relativeFrom="margin">
                <wp14:pctHeight>0</wp14:pctHeight>
              </wp14:sizeRelV>
            </wp:anchor>
          </w:drawing>
        </w:r>
        <w:r w:rsidRPr="00B04B7B">
          <w:rPr>
            <w:rFonts w:ascii="Arial" w:hAnsi="Arial" w:cs="Arial"/>
            <w:sz w:val="18"/>
            <w:szCs w:val="18"/>
          </w:rPr>
          <w:fldChar w:fldCharType="begin"/>
        </w:r>
        <w:r w:rsidRPr="00B04B7B">
          <w:rPr>
            <w:rFonts w:ascii="Arial" w:hAnsi="Arial" w:cs="Arial"/>
            <w:sz w:val="18"/>
            <w:szCs w:val="18"/>
          </w:rPr>
          <w:instrText>PAGE   \* MERGEFORMAT</w:instrText>
        </w:r>
        <w:r w:rsidRPr="00B04B7B">
          <w:rPr>
            <w:rFonts w:ascii="Arial" w:hAnsi="Arial" w:cs="Arial"/>
            <w:sz w:val="18"/>
            <w:szCs w:val="18"/>
          </w:rPr>
          <w:fldChar w:fldCharType="separate"/>
        </w:r>
        <w:r w:rsidRPr="00B04B7B">
          <w:rPr>
            <w:rFonts w:ascii="Arial" w:hAnsi="Arial" w:cs="Arial"/>
            <w:sz w:val="18"/>
            <w:szCs w:val="18"/>
            <w:lang w:val="es-ES"/>
          </w:rPr>
          <w:t>2</w:t>
        </w:r>
        <w:r w:rsidRPr="00B04B7B">
          <w:rPr>
            <w:rFonts w:ascii="Arial" w:hAnsi="Arial" w:cs="Arial"/>
            <w:sz w:val="18"/>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3259272"/>
      <w:docPartObj>
        <w:docPartGallery w:val="Page Numbers (Bottom of Page)"/>
        <w:docPartUnique/>
      </w:docPartObj>
    </w:sdtPr>
    <w:sdtEndPr>
      <w:rPr>
        <w:rFonts w:ascii="Arial" w:hAnsi="Arial" w:cs="Arial"/>
        <w:sz w:val="18"/>
        <w:szCs w:val="18"/>
      </w:rPr>
    </w:sdtEndPr>
    <w:sdtContent>
      <w:p w14:paraId="6E0FAF6C" w14:textId="61E8E7AF" w:rsidR="00955A51" w:rsidRPr="00A84CF5" w:rsidRDefault="00955A51" w:rsidP="00A84CF5">
        <w:pPr>
          <w:pStyle w:val="Piedepgina"/>
          <w:jc w:val="right"/>
          <w:rPr>
            <w:rFonts w:ascii="Arial" w:hAnsi="Arial" w:cs="Arial"/>
            <w:sz w:val="18"/>
            <w:szCs w:val="18"/>
          </w:rPr>
        </w:pPr>
        <w:r w:rsidRPr="00402250">
          <w:rPr>
            <w:rFonts w:ascii="Arial" w:hAnsi="Arial" w:cs="Arial"/>
            <w:sz w:val="18"/>
            <w:szCs w:val="18"/>
          </w:rPr>
          <w:fldChar w:fldCharType="begin"/>
        </w:r>
        <w:r w:rsidRPr="00402250">
          <w:rPr>
            <w:rFonts w:ascii="Arial" w:hAnsi="Arial" w:cs="Arial"/>
            <w:sz w:val="18"/>
            <w:szCs w:val="18"/>
          </w:rPr>
          <w:instrText>PAGE   \* MERGEFORMAT</w:instrText>
        </w:r>
        <w:r w:rsidRPr="00402250">
          <w:rPr>
            <w:rFonts w:ascii="Arial" w:hAnsi="Arial" w:cs="Arial"/>
            <w:sz w:val="18"/>
            <w:szCs w:val="18"/>
          </w:rPr>
          <w:fldChar w:fldCharType="separate"/>
        </w:r>
        <w:r w:rsidRPr="00402250">
          <w:rPr>
            <w:rFonts w:ascii="Arial" w:hAnsi="Arial" w:cs="Arial"/>
            <w:sz w:val="18"/>
            <w:szCs w:val="18"/>
            <w:lang w:val="es-ES"/>
          </w:rPr>
          <w:t>2</w:t>
        </w:r>
        <w:r w:rsidRPr="00402250">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A120BE" w14:textId="77777777" w:rsidR="00E36295" w:rsidRDefault="00E36295" w:rsidP="006246B1">
      <w:pPr>
        <w:spacing w:after="0" w:line="240" w:lineRule="auto"/>
      </w:pPr>
      <w:r>
        <w:separator/>
      </w:r>
    </w:p>
  </w:footnote>
  <w:footnote w:type="continuationSeparator" w:id="0">
    <w:p w14:paraId="2BD28D3A" w14:textId="77777777" w:rsidR="00E36295" w:rsidRDefault="00E36295" w:rsidP="00624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3B17C" w14:textId="77777777" w:rsidR="009E3021" w:rsidRPr="001228AD" w:rsidRDefault="009E3021" w:rsidP="009E3021">
    <w:pPr>
      <w:pStyle w:val="Encabezado"/>
      <w:tabs>
        <w:tab w:val="clear" w:pos="4252"/>
        <w:tab w:val="clear" w:pos="8504"/>
        <w:tab w:val="left" w:pos="2670"/>
      </w:tabs>
      <w:rPr>
        <w:rFonts w:asciiTheme="majorHAnsi" w:hAnsiTheme="majorHAnsi" w:cstheme="majorHAnsi"/>
        <w:iCs/>
        <w:sz w:val="15"/>
        <w:szCs w:val="15"/>
      </w:rPr>
    </w:pPr>
    <w:r w:rsidRPr="001228AD">
      <w:rPr>
        <w:rFonts w:ascii="Arial" w:eastAsia="Times New Roman" w:hAnsi="Arial" w:cs="Arial"/>
        <w:b/>
        <w:i/>
        <w:iCs/>
        <w:noProof/>
        <w:sz w:val="15"/>
        <w:szCs w:val="15"/>
        <w:lang w:eastAsia="es-ES"/>
      </w:rPr>
      <w:drawing>
        <wp:anchor distT="0" distB="0" distL="114300" distR="114300" simplePos="0" relativeHeight="251730944" behindDoc="1" locked="0" layoutInCell="1" allowOverlap="1" wp14:anchorId="253B4BDD" wp14:editId="6EDA26CA">
          <wp:simplePos x="0" y="0"/>
          <wp:positionH relativeFrom="margin">
            <wp:posOffset>4853940</wp:posOffset>
          </wp:positionH>
          <wp:positionV relativeFrom="paragraph">
            <wp:posOffset>-201930</wp:posOffset>
          </wp:positionV>
          <wp:extent cx="566420" cy="579120"/>
          <wp:effectExtent l="0" t="0" r="5080" b="0"/>
          <wp:wrapTight wrapText="bothSides">
            <wp:wrapPolygon edited="0">
              <wp:start x="5085" y="0"/>
              <wp:lineTo x="0" y="4974"/>
              <wp:lineTo x="0" y="15632"/>
              <wp:lineTo x="5085" y="20605"/>
              <wp:lineTo x="15982" y="20605"/>
              <wp:lineTo x="21067" y="15632"/>
              <wp:lineTo x="21067" y="4974"/>
              <wp:lineTo x="15982" y="0"/>
              <wp:lineTo x="5085" y="0"/>
            </wp:wrapPolygon>
          </wp:wrapTight>
          <wp:docPr id="4" name="Imagen 4"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de la pantalla de un celular con letras&#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579120"/>
                  </a:xfrm>
                  <a:prstGeom prst="rect">
                    <a:avLst/>
                  </a:prstGeom>
                  <a:noFill/>
                  <a:ln>
                    <a:noFill/>
                  </a:ln>
                </pic:spPr>
              </pic:pic>
            </a:graphicData>
          </a:graphic>
          <wp14:sizeRelH relativeFrom="margin">
            <wp14:pctWidth>0</wp14:pctWidth>
          </wp14:sizeRelH>
        </wp:anchor>
      </w:drawing>
    </w:r>
    <w:r w:rsidRPr="001228AD">
      <w:rPr>
        <w:rFonts w:asciiTheme="majorHAnsi" w:hAnsiTheme="majorHAnsi" w:cstheme="majorHAnsi"/>
        <w:iCs/>
        <w:sz w:val="15"/>
        <w:szCs w:val="15"/>
      </w:rPr>
      <w:t xml:space="preserve">Revista Científica Multidisciplinaria Arbitrada YACHASUN. Volumen </w:t>
    </w:r>
    <w:r>
      <w:rPr>
        <w:rFonts w:asciiTheme="majorHAnsi" w:hAnsiTheme="majorHAnsi" w:cstheme="majorHAnsi"/>
        <w:iCs/>
        <w:sz w:val="15"/>
        <w:szCs w:val="15"/>
      </w:rPr>
      <w:t>8</w:t>
    </w:r>
    <w:r w:rsidRPr="001228AD">
      <w:rPr>
        <w:rFonts w:asciiTheme="majorHAnsi" w:hAnsiTheme="majorHAnsi" w:cstheme="majorHAnsi"/>
        <w:iCs/>
        <w:sz w:val="15"/>
        <w:szCs w:val="15"/>
      </w:rPr>
      <w:t xml:space="preserve">, Número </w:t>
    </w:r>
    <w:r>
      <w:rPr>
        <w:rFonts w:asciiTheme="majorHAnsi" w:hAnsiTheme="majorHAnsi" w:cstheme="majorHAnsi"/>
        <w:iCs/>
        <w:sz w:val="15"/>
        <w:szCs w:val="15"/>
      </w:rPr>
      <w:t>15</w:t>
    </w:r>
    <w:r w:rsidRPr="001228AD">
      <w:rPr>
        <w:rFonts w:asciiTheme="majorHAnsi" w:hAnsiTheme="majorHAnsi" w:cstheme="majorHAnsi"/>
        <w:iCs/>
        <w:sz w:val="15"/>
        <w:szCs w:val="15"/>
      </w:rPr>
      <w:t xml:space="preserve"> (Ed. </w:t>
    </w:r>
    <w:r>
      <w:rPr>
        <w:rFonts w:asciiTheme="majorHAnsi" w:hAnsiTheme="majorHAnsi" w:cstheme="majorHAnsi"/>
        <w:iCs/>
        <w:sz w:val="15"/>
        <w:szCs w:val="15"/>
      </w:rPr>
      <w:t>jul – dic. 2024</w:t>
    </w:r>
    <w:r w:rsidRPr="001228AD">
      <w:rPr>
        <w:rFonts w:asciiTheme="majorHAnsi" w:hAnsiTheme="majorHAnsi" w:cstheme="majorHAnsi"/>
        <w:iCs/>
        <w:sz w:val="15"/>
        <w:szCs w:val="15"/>
      </w:rPr>
      <w:t xml:space="preserve">) ISSN: 2697-3456 </w:t>
    </w:r>
  </w:p>
  <w:p w14:paraId="074CB7FE" w14:textId="77777777" w:rsidR="009E3021" w:rsidRPr="0073798C" w:rsidRDefault="009E3021" w:rsidP="009E3021">
    <w:pPr>
      <w:pStyle w:val="Encabezado"/>
      <w:pBdr>
        <w:top w:val="single" w:sz="4" w:space="1" w:color="auto"/>
        <w:bottom w:val="single" w:sz="4" w:space="1" w:color="auto"/>
      </w:pBdr>
      <w:tabs>
        <w:tab w:val="clear" w:pos="4252"/>
        <w:tab w:val="clear" w:pos="8504"/>
        <w:tab w:val="left" w:pos="2670"/>
      </w:tabs>
      <w:jc w:val="both"/>
      <w:rPr>
        <w:rFonts w:asciiTheme="majorHAnsi" w:hAnsiTheme="majorHAnsi" w:cstheme="majorHAnsi"/>
        <w:i/>
        <w:iCs/>
        <w:sz w:val="15"/>
        <w:szCs w:val="15"/>
      </w:rPr>
    </w:pPr>
    <w:r w:rsidRPr="009E3021">
      <w:rPr>
        <w:rFonts w:asciiTheme="majorHAnsi" w:hAnsiTheme="majorHAnsi" w:cstheme="majorHAnsi"/>
        <w:i/>
        <w:iCs/>
        <w:sz w:val="15"/>
        <w:szCs w:val="15"/>
      </w:rPr>
      <w:t>Control previo al pago en la Administración de Recursos en una Empresa Pública</w:t>
    </w:r>
    <w:r w:rsidRPr="00BA42ED">
      <w:rPr>
        <w:rFonts w:asciiTheme="majorHAnsi" w:hAnsiTheme="majorHAnsi" w:cstheme="majorHAnsi"/>
        <w:i/>
        <w:iCs/>
        <w:sz w:val="15"/>
        <w:szCs w:val="15"/>
      </w:rPr>
      <w:t>.</w:t>
    </w:r>
  </w:p>
  <w:p w14:paraId="1EFA2253" w14:textId="4BB119BA" w:rsidR="00955A51" w:rsidRPr="009E3021" w:rsidRDefault="00955A51" w:rsidP="009E302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EFB5D" w14:textId="4B8BF32F" w:rsidR="009E3021" w:rsidRPr="007740AD" w:rsidRDefault="009E3021" w:rsidP="009E3021">
    <w:pPr>
      <w:pStyle w:val="Encabezado"/>
      <w:pBdr>
        <w:top w:val="single" w:sz="4" w:space="1" w:color="auto"/>
      </w:pBdr>
      <w:tabs>
        <w:tab w:val="clear" w:pos="4252"/>
        <w:tab w:val="clear" w:pos="8504"/>
        <w:tab w:val="left" w:pos="2670"/>
      </w:tabs>
      <w:rPr>
        <w:rFonts w:asciiTheme="majorHAnsi" w:hAnsiTheme="majorHAnsi" w:cstheme="majorHAnsi"/>
        <w:sz w:val="17"/>
        <w:szCs w:val="17"/>
      </w:rPr>
    </w:pPr>
    <w:r w:rsidRPr="00E451D9">
      <w:rPr>
        <w:rFonts w:ascii="Arial" w:eastAsia="Times New Roman" w:hAnsi="Arial" w:cs="Arial"/>
        <w:b/>
        <w:noProof/>
        <w:sz w:val="17"/>
        <w:szCs w:val="17"/>
        <w:lang w:eastAsia="es-ES"/>
      </w:rPr>
      <w:drawing>
        <wp:anchor distT="0" distB="0" distL="114300" distR="114300" simplePos="0" relativeHeight="251728896" behindDoc="1" locked="0" layoutInCell="1" allowOverlap="1" wp14:anchorId="78B93392" wp14:editId="73FC6BD6">
          <wp:simplePos x="0" y="0"/>
          <wp:positionH relativeFrom="margin">
            <wp:posOffset>4826310</wp:posOffset>
          </wp:positionH>
          <wp:positionV relativeFrom="paragraph">
            <wp:posOffset>-299720</wp:posOffset>
          </wp:positionV>
          <wp:extent cx="595424" cy="579957"/>
          <wp:effectExtent l="0" t="0" r="0" b="0"/>
          <wp:wrapTight wrapText="bothSides">
            <wp:wrapPolygon edited="0">
              <wp:start x="5533" y="0"/>
              <wp:lineTo x="0" y="2839"/>
              <wp:lineTo x="0" y="18453"/>
              <wp:lineTo x="5533" y="20583"/>
              <wp:lineTo x="15215" y="20583"/>
              <wp:lineTo x="20747" y="18453"/>
              <wp:lineTo x="20747" y="2839"/>
              <wp:lineTo x="15215" y="0"/>
              <wp:lineTo x="5533" y="0"/>
            </wp:wrapPolygon>
          </wp:wrapTight>
          <wp:docPr id="1" name="Imagen 1"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de la pantalla de un celular con letras&#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424" cy="579957"/>
                  </a:xfrm>
                  <a:prstGeom prst="rect">
                    <a:avLst/>
                  </a:prstGeom>
                  <a:noFill/>
                  <a:ln>
                    <a:noFill/>
                  </a:ln>
                </pic:spPr>
              </pic:pic>
            </a:graphicData>
          </a:graphic>
        </wp:anchor>
      </w:drawing>
    </w:r>
    <w:r w:rsidRPr="0006060A">
      <w:t xml:space="preserve"> </w:t>
    </w:r>
    <w:r w:rsidRPr="009E3021">
      <w:rPr>
        <w:rFonts w:asciiTheme="majorHAnsi" w:hAnsiTheme="majorHAnsi" w:cstheme="majorHAnsi"/>
        <w:i/>
        <w:sz w:val="17"/>
        <w:szCs w:val="17"/>
      </w:rPr>
      <w:t xml:space="preserve">Dueñas-De la Torre </w:t>
    </w:r>
    <w:r>
      <w:rPr>
        <w:rFonts w:asciiTheme="majorHAnsi" w:hAnsiTheme="majorHAnsi" w:cstheme="majorHAnsi"/>
        <w:i/>
        <w:sz w:val="17"/>
        <w:szCs w:val="17"/>
      </w:rPr>
      <w:t xml:space="preserve">et al. </w:t>
    </w:r>
    <w:r w:rsidRPr="00E451D9">
      <w:rPr>
        <w:rFonts w:asciiTheme="majorHAnsi" w:hAnsiTheme="majorHAnsi" w:cstheme="majorHAnsi"/>
        <w:i/>
        <w:sz w:val="17"/>
        <w:szCs w:val="17"/>
      </w:rPr>
      <w:t>(202</w:t>
    </w:r>
    <w:r>
      <w:rPr>
        <w:rFonts w:asciiTheme="majorHAnsi" w:hAnsiTheme="majorHAnsi" w:cstheme="majorHAnsi"/>
        <w:i/>
        <w:sz w:val="17"/>
        <w:szCs w:val="17"/>
      </w:rPr>
      <w:t>4</w:t>
    </w:r>
    <w:r w:rsidRPr="00E451D9">
      <w:rPr>
        <w:rFonts w:asciiTheme="majorHAnsi" w:hAnsiTheme="majorHAnsi" w:cstheme="majorHAnsi"/>
        <w:i/>
        <w:sz w:val="17"/>
        <w:szCs w:val="17"/>
      </w:rPr>
      <w:t>)</w:t>
    </w:r>
  </w:p>
  <w:p w14:paraId="0CF6D8A2" w14:textId="1114FC62" w:rsidR="00955A51" w:rsidRPr="005D5E78" w:rsidRDefault="00955A51" w:rsidP="005D5E7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F1681" w14:textId="096A5CCA" w:rsidR="00955A51" w:rsidRPr="001228AD" w:rsidRDefault="00955A51" w:rsidP="003D34BC">
    <w:pPr>
      <w:pStyle w:val="Encabezado"/>
      <w:tabs>
        <w:tab w:val="clear" w:pos="4252"/>
        <w:tab w:val="clear" w:pos="8504"/>
        <w:tab w:val="left" w:pos="2670"/>
      </w:tabs>
      <w:rPr>
        <w:rFonts w:asciiTheme="majorHAnsi" w:hAnsiTheme="majorHAnsi" w:cstheme="majorHAnsi"/>
        <w:iCs/>
        <w:sz w:val="15"/>
        <w:szCs w:val="15"/>
      </w:rPr>
    </w:pPr>
    <w:bookmarkStart w:id="1" w:name="_Hlk33533761"/>
    <w:bookmarkStart w:id="2" w:name="_Hlk33534547"/>
    <w:r w:rsidRPr="001228AD">
      <w:rPr>
        <w:rFonts w:ascii="Arial" w:eastAsia="Times New Roman" w:hAnsi="Arial" w:cs="Arial"/>
        <w:b/>
        <w:i/>
        <w:iCs/>
        <w:noProof/>
        <w:sz w:val="15"/>
        <w:szCs w:val="15"/>
        <w:lang w:eastAsia="es-ES"/>
      </w:rPr>
      <w:drawing>
        <wp:anchor distT="0" distB="0" distL="114300" distR="114300" simplePos="0" relativeHeight="251669504" behindDoc="1" locked="0" layoutInCell="1" allowOverlap="1" wp14:anchorId="727FFBFF" wp14:editId="1F78B514">
          <wp:simplePos x="0" y="0"/>
          <wp:positionH relativeFrom="margin">
            <wp:posOffset>4853940</wp:posOffset>
          </wp:positionH>
          <wp:positionV relativeFrom="paragraph">
            <wp:posOffset>-201930</wp:posOffset>
          </wp:positionV>
          <wp:extent cx="566420" cy="579120"/>
          <wp:effectExtent l="0" t="0" r="5080" b="0"/>
          <wp:wrapTight wrapText="bothSides">
            <wp:wrapPolygon edited="0">
              <wp:start x="5085" y="0"/>
              <wp:lineTo x="0" y="4974"/>
              <wp:lineTo x="0" y="15632"/>
              <wp:lineTo x="5085" y="20605"/>
              <wp:lineTo x="15982" y="20605"/>
              <wp:lineTo x="21067" y="15632"/>
              <wp:lineTo x="21067" y="4974"/>
              <wp:lineTo x="15982" y="0"/>
              <wp:lineTo x="5085"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420" cy="579120"/>
                  </a:xfrm>
                  <a:prstGeom prst="rect">
                    <a:avLst/>
                  </a:prstGeom>
                  <a:noFill/>
                  <a:ln>
                    <a:noFill/>
                  </a:ln>
                </pic:spPr>
              </pic:pic>
            </a:graphicData>
          </a:graphic>
          <wp14:sizeRelH relativeFrom="margin">
            <wp14:pctWidth>0</wp14:pctWidth>
          </wp14:sizeRelH>
        </wp:anchor>
      </w:drawing>
    </w:r>
    <w:r w:rsidRPr="001228AD">
      <w:rPr>
        <w:rFonts w:asciiTheme="majorHAnsi" w:hAnsiTheme="majorHAnsi" w:cstheme="majorHAnsi"/>
        <w:iCs/>
        <w:sz w:val="15"/>
        <w:szCs w:val="15"/>
      </w:rPr>
      <w:t xml:space="preserve">Revista Científica Multidisciplinaria Arbitrada YACHASUN. Volumen </w:t>
    </w:r>
    <w:r>
      <w:rPr>
        <w:rFonts w:asciiTheme="majorHAnsi" w:hAnsiTheme="majorHAnsi" w:cstheme="majorHAnsi"/>
        <w:iCs/>
        <w:sz w:val="15"/>
        <w:szCs w:val="15"/>
      </w:rPr>
      <w:t>8</w:t>
    </w:r>
    <w:r w:rsidRPr="001228AD">
      <w:rPr>
        <w:rFonts w:asciiTheme="majorHAnsi" w:hAnsiTheme="majorHAnsi" w:cstheme="majorHAnsi"/>
        <w:iCs/>
        <w:sz w:val="15"/>
        <w:szCs w:val="15"/>
      </w:rPr>
      <w:t xml:space="preserve">, Número </w:t>
    </w:r>
    <w:r>
      <w:rPr>
        <w:rFonts w:asciiTheme="majorHAnsi" w:hAnsiTheme="majorHAnsi" w:cstheme="majorHAnsi"/>
        <w:iCs/>
        <w:sz w:val="15"/>
        <w:szCs w:val="15"/>
      </w:rPr>
      <w:t>15</w:t>
    </w:r>
    <w:r w:rsidRPr="001228AD">
      <w:rPr>
        <w:rFonts w:asciiTheme="majorHAnsi" w:hAnsiTheme="majorHAnsi" w:cstheme="majorHAnsi"/>
        <w:iCs/>
        <w:sz w:val="15"/>
        <w:szCs w:val="15"/>
      </w:rPr>
      <w:t xml:space="preserve"> (Ed. </w:t>
    </w:r>
    <w:r>
      <w:rPr>
        <w:rFonts w:asciiTheme="majorHAnsi" w:hAnsiTheme="majorHAnsi" w:cstheme="majorHAnsi"/>
        <w:iCs/>
        <w:sz w:val="15"/>
        <w:szCs w:val="15"/>
      </w:rPr>
      <w:t>jul – dic. 2024</w:t>
    </w:r>
    <w:r w:rsidRPr="001228AD">
      <w:rPr>
        <w:rFonts w:asciiTheme="majorHAnsi" w:hAnsiTheme="majorHAnsi" w:cstheme="majorHAnsi"/>
        <w:iCs/>
        <w:sz w:val="15"/>
        <w:szCs w:val="15"/>
      </w:rPr>
      <w:t xml:space="preserve">) ISSN: 2697-3456 </w:t>
    </w:r>
  </w:p>
  <w:bookmarkEnd w:id="1"/>
  <w:bookmarkEnd w:id="2"/>
  <w:p w14:paraId="0DBDEBAD" w14:textId="5C89E541" w:rsidR="00955A51" w:rsidRPr="0073798C" w:rsidRDefault="009E3021" w:rsidP="0073798C">
    <w:pPr>
      <w:pStyle w:val="Encabezado"/>
      <w:pBdr>
        <w:top w:val="single" w:sz="4" w:space="1" w:color="auto"/>
        <w:bottom w:val="single" w:sz="4" w:space="1" w:color="auto"/>
      </w:pBdr>
      <w:tabs>
        <w:tab w:val="clear" w:pos="4252"/>
        <w:tab w:val="clear" w:pos="8504"/>
        <w:tab w:val="left" w:pos="2670"/>
      </w:tabs>
      <w:jc w:val="both"/>
      <w:rPr>
        <w:rFonts w:asciiTheme="majorHAnsi" w:hAnsiTheme="majorHAnsi" w:cstheme="majorHAnsi"/>
        <w:i/>
        <w:iCs/>
        <w:sz w:val="15"/>
        <w:szCs w:val="15"/>
      </w:rPr>
    </w:pPr>
    <w:r w:rsidRPr="009E3021">
      <w:rPr>
        <w:rFonts w:asciiTheme="majorHAnsi" w:hAnsiTheme="majorHAnsi" w:cstheme="majorHAnsi"/>
        <w:i/>
        <w:iCs/>
        <w:sz w:val="15"/>
        <w:szCs w:val="15"/>
      </w:rPr>
      <w:t>Control previo al pago en la Administración de Recursos en una Empresa Pública</w:t>
    </w:r>
    <w:r w:rsidR="00955A51" w:rsidRPr="00BA42ED">
      <w:rPr>
        <w:rFonts w:asciiTheme="majorHAnsi" w:hAnsiTheme="majorHAnsi" w:cstheme="majorHAnsi"/>
        <w:i/>
        <w:iCs/>
        <w:sz w:val="15"/>
        <w:szCs w:val="15"/>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06D1C"/>
    <w:multiLevelType w:val="hybridMultilevel"/>
    <w:tmpl w:val="5A34D7A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192F5504"/>
    <w:multiLevelType w:val="hybridMultilevel"/>
    <w:tmpl w:val="6F8E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F6591"/>
    <w:multiLevelType w:val="hybridMultilevel"/>
    <w:tmpl w:val="D32CF49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5835E3C"/>
    <w:multiLevelType w:val="hybridMultilevel"/>
    <w:tmpl w:val="6D1C456C"/>
    <w:lvl w:ilvl="0" w:tplc="12ACCCCC">
      <w:numFmt w:val="bullet"/>
      <w:lvlText w:val="•"/>
      <w:lvlJc w:val="left"/>
      <w:pPr>
        <w:ind w:left="1068" w:hanging="708"/>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E735B3"/>
    <w:multiLevelType w:val="hybridMultilevel"/>
    <w:tmpl w:val="3396552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9740333"/>
    <w:multiLevelType w:val="hybridMultilevel"/>
    <w:tmpl w:val="F02C7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AA052A"/>
    <w:multiLevelType w:val="hybridMultilevel"/>
    <w:tmpl w:val="AB5445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318F7E86"/>
    <w:multiLevelType w:val="hybridMultilevel"/>
    <w:tmpl w:val="415E2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0D0257"/>
    <w:multiLevelType w:val="hybridMultilevel"/>
    <w:tmpl w:val="EA4C2C14"/>
    <w:lvl w:ilvl="0" w:tplc="300A000D">
      <w:start w:val="1"/>
      <w:numFmt w:val="bullet"/>
      <w:lvlText w:val=""/>
      <w:lvlJc w:val="left"/>
      <w:pPr>
        <w:ind w:left="1146" w:hanging="360"/>
      </w:pPr>
      <w:rPr>
        <w:rFonts w:ascii="Wingdings" w:hAnsi="Wingdings" w:hint="default"/>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9" w15:restartNumberingAfterBreak="0">
    <w:nsid w:val="429D312B"/>
    <w:multiLevelType w:val="hybridMultilevel"/>
    <w:tmpl w:val="0FD4AE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48AB0E65"/>
    <w:multiLevelType w:val="hybridMultilevel"/>
    <w:tmpl w:val="460A5CEC"/>
    <w:lvl w:ilvl="0" w:tplc="6A965924">
      <w:numFmt w:val="bullet"/>
      <w:lvlText w:val="•"/>
      <w:lvlJc w:val="left"/>
      <w:pPr>
        <w:ind w:left="1068" w:hanging="708"/>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8F1E1C"/>
    <w:multiLevelType w:val="hybridMultilevel"/>
    <w:tmpl w:val="05E81106"/>
    <w:lvl w:ilvl="0" w:tplc="BC2A17A8">
      <w:start w:val="1"/>
      <w:numFmt w:val="decimal"/>
      <w:lvlText w:val="%1."/>
      <w:lvlJc w:val="left"/>
      <w:pPr>
        <w:ind w:left="82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4D4F10"/>
    <w:multiLevelType w:val="hybridMultilevel"/>
    <w:tmpl w:val="A9825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A53FCB"/>
    <w:multiLevelType w:val="hybridMultilevel"/>
    <w:tmpl w:val="3794740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670B6A5A"/>
    <w:multiLevelType w:val="hybridMultilevel"/>
    <w:tmpl w:val="17F68020"/>
    <w:lvl w:ilvl="0" w:tplc="300A0001">
      <w:start w:val="1"/>
      <w:numFmt w:val="bullet"/>
      <w:lvlText w:val=""/>
      <w:lvlJc w:val="left"/>
      <w:pPr>
        <w:ind w:left="782" w:hanging="360"/>
      </w:pPr>
      <w:rPr>
        <w:rFonts w:ascii="Symbol" w:hAnsi="Symbol" w:hint="default"/>
      </w:rPr>
    </w:lvl>
    <w:lvl w:ilvl="1" w:tplc="300A0003" w:tentative="1">
      <w:start w:val="1"/>
      <w:numFmt w:val="bullet"/>
      <w:lvlText w:val="o"/>
      <w:lvlJc w:val="left"/>
      <w:pPr>
        <w:ind w:left="1502" w:hanging="360"/>
      </w:pPr>
      <w:rPr>
        <w:rFonts w:ascii="Courier New" w:hAnsi="Courier New" w:cs="Courier New" w:hint="default"/>
      </w:rPr>
    </w:lvl>
    <w:lvl w:ilvl="2" w:tplc="300A0005" w:tentative="1">
      <w:start w:val="1"/>
      <w:numFmt w:val="bullet"/>
      <w:lvlText w:val=""/>
      <w:lvlJc w:val="left"/>
      <w:pPr>
        <w:ind w:left="2222" w:hanging="360"/>
      </w:pPr>
      <w:rPr>
        <w:rFonts w:ascii="Wingdings" w:hAnsi="Wingdings" w:hint="default"/>
      </w:rPr>
    </w:lvl>
    <w:lvl w:ilvl="3" w:tplc="300A0001" w:tentative="1">
      <w:start w:val="1"/>
      <w:numFmt w:val="bullet"/>
      <w:lvlText w:val=""/>
      <w:lvlJc w:val="left"/>
      <w:pPr>
        <w:ind w:left="2942" w:hanging="360"/>
      </w:pPr>
      <w:rPr>
        <w:rFonts w:ascii="Symbol" w:hAnsi="Symbol" w:hint="default"/>
      </w:rPr>
    </w:lvl>
    <w:lvl w:ilvl="4" w:tplc="300A0003" w:tentative="1">
      <w:start w:val="1"/>
      <w:numFmt w:val="bullet"/>
      <w:lvlText w:val="o"/>
      <w:lvlJc w:val="left"/>
      <w:pPr>
        <w:ind w:left="3662" w:hanging="360"/>
      </w:pPr>
      <w:rPr>
        <w:rFonts w:ascii="Courier New" w:hAnsi="Courier New" w:cs="Courier New" w:hint="default"/>
      </w:rPr>
    </w:lvl>
    <w:lvl w:ilvl="5" w:tplc="300A0005" w:tentative="1">
      <w:start w:val="1"/>
      <w:numFmt w:val="bullet"/>
      <w:lvlText w:val=""/>
      <w:lvlJc w:val="left"/>
      <w:pPr>
        <w:ind w:left="4382" w:hanging="360"/>
      </w:pPr>
      <w:rPr>
        <w:rFonts w:ascii="Wingdings" w:hAnsi="Wingdings" w:hint="default"/>
      </w:rPr>
    </w:lvl>
    <w:lvl w:ilvl="6" w:tplc="300A0001" w:tentative="1">
      <w:start w:val="1"/>
      <w:numFmt w:val="bullet"/>
      <w:lvlText w:val=""/>
      <w:lvlJc w:val="left"/>
      <w:pPr>
        <w:ind w:left="5102" w:hanging="360"/>
      </w:pPr>
      <w:rPr>
        <w:rFonts w:ascii="Symbol" w:hAnsi="Symbol" w:hint="default"/>
      </w:rPr>
    </w:lvl>
    <w:lvl w:ilvl="7" w:tplc="300A0003" w:tentative="1">
      <w:start w:val="1"/>
      <w:numFmt w:val="bullet"/>
      <w:lvlText w:val="o"/>
      <w:lvlJc w:val="left"/>
      <w:pPr>
        <w:ind w:left="5822" w:hanging="360"/>
      </w:pPr>
      <w:rPr>
        <w:rFonts w:ascii="Courier New" w:hAnsi="Courier New" w:cs="Courier New" w:hint="default"/>
      </w:rPr>
    </w:lvl>
    <w:lvl w:ilvl="8" w:tplc="300A0005" w:tentative="1">
      <w:start w:val="1"/>
      <w:numFmt w:val="bullet"/>
      <w:lvlText w:val=""/>
      <w:lvlJc w:val="left"/>
      <w:pPr>
        <w:ind w:left="6542" w:hanging="360"/>
      </w:pPr>
      <w:rPr>
        <w:rFonts w:ascii="Wingdings" w:hAnsi="Wingdings" w:hint="default"/>
      </w:rPr>
    </w:lvl>
  </w:abstractNum>
  <w:abstractNum w:abstractNumId="15" w15:restartNumberingAfterBreak="0">
    <w:nsid w:val="670E41D7"/>
    <w:multiLevelType w:val="hybridMultilevel"/>
    <w:tmpl w:val="94389E4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6D0F1D80"/>
    <w:multiLevelType w:val="hybridMultilevel"/>
    <w:tmpl w:val="0526FC38"/>
    <w:lvl w:ilvl="0" w:tplc="2D569FE0">
      <w:start w:val="4"/>
      <w:numFmt w:val="bullet"/>
      <w:lvlText w:val="•"/>
      <w:lvlJc w:val="left"/>
      <w:pPr>
        <w:ind w:left="1068" w:hanging="708"/>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287081"/>
    <w:multiLevelType w:val="hybridMultilevel"/>
    <w:tmpl w:val="8EA6E9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2"/>
  </w:num>
  <w:num w:numId="2">
    <w:abstractNumId w:val="14"/>
  </w:num>
  <w:num w:numId="3">
    <w:abstractNumId w:val="6"/>
  </w:num>
  <w:num w:numId="4">
    <w:abstractNumId w:val="13"/>
  </w:num>
  <w:num w:numId="5">
    <w:abstractNumId w:val="0"/>
  </w:num>
  <w:num w:numId="6">
    <w:abstractNumId w:val="15"/>
  </w:num>
  <w:num w:numId="7">
    <w:abstractNumId w:val="8"/>
  </w:num>
  <w:num w:numId="8">
    <w:abstractNumId w:val="4"/>
  </w:num>
  <w:num w:numId="9">
    <w:abstractNumId w:val="9"/>
  </w:num>
  <w:num w:numId="10">
    <w:abstractNumId w:val="17"/>
  </w:num>
  <w:num w:numId="11">
    <w:abstractNumId w:val="12"/>
  </w:num>
  <w:num w:numId="12">
    <w:abstractNumId w:val="10"/>
  </w:num>
  <w:num w:numId="13">
    <w:abstractNumId w:val="1"/>
  </w:num>
  <w:num w:numId="14">
    <w:abstractNumId w:val="3"/>
  </w:num>
  <w:num w:numId="15">
    <w:abstractNumId w:val="7"/>
  </w:num>
  <w:num w:numId="16">
    <w:abstractNumId w:val="11"/>
  </w:num>
  <w:num w:numId="17">
    <w:abstractNumId w:val="5"/>
  </w:num>
  <w:num w:numId="18">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BAE"/>
    <w:rsid w:val="000007AD"/>
    <w:rsid w:val="00005A54"/>
    <w:rsid w:val="00006685"/>
    <w:rsid w:val="00007CF9"/>
    <w:rsid w:val="000147AD"/>
    <w:rsid w:val="00016B17"/>
    <w:rsid w:val="0002052A"/>
    <w:rsid w:val="00022100"/>
    <w:rsid w:val="00025B95"/>
    <w:rsid w:val="00031B5C"/>
    <w:rsid w:val="000430F6"/>
    <w:rsid w:val="00043980"/>
    <w:rsid w:val="00044304"/>
    <w:rsid w:val="000444D7"/>
    <w:rsid w:val="0004629E"/>
    <w:rsid w:val="000527EC"/>
    <w:rsid w:val="00054644"/>
    <w:rsid w:val="000563F5"/>
    <w:rsid w:val="0006060A"/>
    <w:rsid w:val="00070792"/>
    <w:rsid w:val="0007366B"/>
    <w:rsid w:val="00076F7B"/>
    <w:rsid w:val="00084537"/>
    <w:rsid w:val="00085557"/>
    <w:rsid w:val="0008606B"/>
    <w:rsid w:val="000913B8"/>
    <w:rsid w:val="00097146"/>
    <w:rsid w:val="000977EA"/>
    <w:rsid w:val="00097A4E"/>
    <w:rsid w:val="000A308B"/>
    <w:rsid w:val="000A4F71"/>
    <w:rsid w:val="000A63E3"/>
    <w:rsid w:val="000B0763"/>
    <w:rsid w:val="000B18D9"/>
    <w:rsid w:val="000B1E95"/>
    <w:rsid w:val="000B23A4"/>
    <w:rsid w:val="000B7EA2"/>
    <w:rsid w:val="000C19DC"/>
    <w:rsid w:val="000C2493"/>
    <w:rsid w:val="000C26BC"/>
    <w:rsid w:val="000C3079"/>
    <w:rsid w:val="000C7BB2"/>
    <w:rsid w:val="000D1E54"/>
    <w:rsid w:val="000D3D05"/>
    <w:rsid w:val="000D4510"/>
    <w:rsid w:val="000D792C"/>
    <w:rsid w:val="000E036A"/>
    <w:rsid w:val="000E08E5"/>
    <w:rsid w:val="000E12A7"/>
    <w:rsid w:val="000E4949"/>
    <w:rsid w:val="000E79C1"/>
    <w:rsid w:val="000F0780"/>
    <w:rsid w:val="000F2968"/>
    <w:rsid w:val="000F5E61"/>
    <w:rsid w:val="000F778C"/>
    <w:rsid w:val="000F7EDA"/>
    <w:rsid w:val="00102EE6"/>
    <w:rsid w:val="001030EB"/>
    <w:rsid w:val="00105FE6"/>
    <w:rsid w:val="001131BF"/>
    <w:rsid w:val="00117FFA"/>
    <w:rsid w:val="001228AD"/>
    <w:rsid w:val="00123669"/>
    <w:rsid w:val="0013267F"/>
    <w:rsid w:val="00135420"/>
    <w:rsid w:val="00136785"/>
    <w:rsid w:val="00137D75"/>
    <w:rsid w:val="00143ECD"/>
    <w:rsid w:val="001447F9"/>
    <w:rsid w:val="001466CA"/>
    <w:rsid w:val="00146737"/>
    <w:rsid w:val="001472D5"/>
    <w:rsid w:val="001474BF"/>
    <w:rsid w:val="00150751"/>
    <w:rsid w:val="00151A0A"/>
    <w:rsid w:val="00152D3C"/>
    <w:rsid w:val="001631BB"/>
    <w:rsid w:val="0017210B"/>
    <w:rsid w:val="001761F4"/>
    <w:rsid w:val="0017646D"/>
    <w:rsid w:val="00176C3D"/>
    <w:rsid w:val="00177754"/>
    <w:rsid w:val="001804E7"/>
    <w:rsid w:val="00182198"/>
    <w:rsid w:val="00187962"/>
    <w:rsid w:val="001913A3"/>
    <w:rsid w:val="0019182E"/>
    <w:rsid w:val="0019471E"/>
    <w:rsid w:val="00194E4F"/>
    <w:rsid w:val="00195276"/>
    <w:rsid w:val="001A5939"/>
    <w:rsid w:val="001B0006"/>
    <w:rsid w:val="001B1C02"/>
    <w:rsid w:val="001B2765"/>
    <w:rsid w:val="001B2C89"/>
    <w:rsid w:val="001B5447"/>
    <w:rsid w:val="001B6109"/>
    <w:rsid w:val="001B6B0F"/>
    <w:rsid w:val="001B7566"/>
    <w:rsid w:val="001B7C01"/>
    <w:rsid w:val="001C08E4"/>
    <w:rsid w:val="001C2993"/>
    <w:rsid w:val="001C69A4"/>
    <w:rsid w:val="001D20BC"/>
    <w:rsid w:val="001D2BEB"/>
    <w:rsid w:val="001D3D52"/>
    <w:rsid w:val="001D67A3"/>
    <w:rsid w:val="001D746F"/>
    <w:rsid w:val="001D7CE1"/>
    <w:rsid w:val="001E01DC"/>
    <w:rsid w:val="001E3824"/>
    <w:rsid w:val="001E7074"/>
    <w:rsid w:val="001F5B54"/>
    <w:rsid w:val="00201316"/>
    <w:rsid w:val="00204044"/>
    <w:rsid w:val="002056E4"/>
    <w:rsid w:val="002063BC"/>
    <w:rsid w:val="00212F5B"/>
    <w:rsid w:val="0021331B"/>
    <w:rsid w:val="0021441E"/>
    <w:rsid w:val="00216FC7"/>
    <w:rsid w:val="002212E0"/>
    <w:rsid w:val="00222215"/>
    <w:rsid w:val="002236E3"/>
    <w:rsid w:val="002305D8"/>
    <w:rsid w:val="00230EAF"/>
    <w:rsid w:val="0023371E"/>
    <w:rsid w:val="00234281"/>
    <w:rsid w:val="002360D9"/>
    <w:rsid w:val="002401F7"/>
    <w:rsid w:val="00247494"/>
    <w:rsid w:val="00256DD0"/>
    <w:rsid w:val="0025731B"/>
    <w:rsid w:val="0026486E"/>
    <w:rsid w:val="00266E05"/>
    <w:rsid w:val="002670F2"/>
    <w:rsid w:val="0027245D"/>
    <w:rsid w:val="002828DA"/>
    <w:rsid w:val="00283277"/>
    <w:rsid w:val="0028434A"/>
    <w:rsid w:val="00284357"/>
    <w:rsid w:val="00286EB3"/>
    <w:rsid w:val="0028792B"/>
    <w:rsid w:val="00293224"/>
    <w:rsid w:val="002934DF"/>
    <w:rsid w:val="00294C1C"/>
    <w:rsid w:val="002A02AE"/>
    <w:rsid w:val="002A1064"/>
    <w:rsid w:val="002A4784"/>
    <w:rsid w:val="002A67E4"/>
    <w:rsid w:val="002A7043"/>
    <w:rsid w:val="002B0F0F"/>
    <w:rsid w:val="002B27F3"/>
    <w:rsid w:val="002B2855"/>
    <w:rsid w:val="002C0775"/>
    <w:rsid w:val="002C1970"/>
    <w:rsid w:val="002C3695"/>
    <w:rsid w:val="002C3A06"/>
    <w:rsid w:val="002C405D"/>
    <w:rsid w:val="002C7D33"/>
    <w:rsid w:val="002D05CE"/>
    <w:rsid w:val="002D6A57"/>
    <w:rsid w:val="002E0A1F"/>
    <w:rsid w:val="002E49CE"/>
    <w:rsid w:val="002E5612"/>
    <w:rsid w:val="002F068A"/>
    <w:rsid w:val="002F157A"/>
    <w:rsid w:val="002F2B4D"/>
    <w:rsid w:val="002F3D50"/>
    <w:rsid w:val="002F6A19"/>
    <w:rsid w:val="003046E1"/>
    <w:rsid w:val="00306B0C"/>
    <w:rsid w:val="00311710"/>
    <w:rsid w:val="003135D2"/>
    <w:rsid w:val="003136B8"/>
    <w:rsid w:val="003147E6"/>
    <w:rsid w:val="00315739"/>
    <w:rsid w:val="00315838"/>
    <w:rsid w:val="00323A50"/>
    <w:rsid w:val="00323B43"/>
    <w:rsid w:val="003301FC"/>
    <w:rsid w:val="00330CFF"/>
    <w:rsid w:val="00330E16"/>
    <w:rsid w:val="00332AD3"/>
    <w:rsid w:val="00334CD6"/>
    <w:rsid w:val="0033586A"/>
    <w:rsid w:val="00337A06"/>
    <w:rsid w:val="00337BB5"/>
    <w:rsid w:val="0035197B"/>
    <w:rsid w:val="00353EEB"/>
    <w:rsid w:val="003540AB"/>
    <w:rsid w:val="003543F2"/>
    <w:rsid w:val="003605A4"/>
    <w:rsid w:val="00370843"/>
    <w:rsid w:val="003744A5"/>
    <w:rsid w:val="00375B41"/>
    <w:rsid w:val="00375FB4"/>
    <w:rsid w:val="0037656C"/>
    <w:rsid w:val="00376AE3"/>
    <w:rsid w:val="003814DA"/>
    <w:rsid w:val="003814E9"/>
    <w:rsid w:val="00381EFC"/>
    <w:rsid w:val="00387BAA"/>
    <w:rsid w:val="00397D19"/>
    <w:rsid w:val="003A0DBD"/>
    <w:rsid w:val="003A473E"/>
    <w:rsid w:val="003A7838"/>
    <w:rsid w:val="003B249A"/>
    <w:rsid w:val="003B59D0"/>
    <w:rsid w:val="003B5C78"/>
    <w:rsid w:val="003B71A3"/>
    <w:rsid w:val="003C7B72"/>
    <w:rsid w:val="003D0A21"/>
    <w:rsid w:val="003D1888"/>
    <w:rsid w:val="003D34BC"/>
    <w:rsid w:val="003D3F04"/>
    <w:rsid w:val="003D4DD7"/>
    <w:rsid w:val="003D722D"/>
    <w:rsid w:val="003E766A"/>
    <w:rsid w:val="003F4C6B"/>
    <w:rsid w:val="00401176"/>
    <w:rsid w:val="0040182D"/>
    <w:rsid w:val="00402250"/>
    <w:rsid w:val="004028BC"/>
    <w:rsid w:val="00402FBD"/>
    <w:rsid w:val="00403600"/>
    <w:rsid w:val="00403E76"/>
    <w:rsid w:val="00405CF5"/>
    <w:rsid w:val="00410738"/>
    <w:rsid w:val="004135BC"/>
    <w:rsid w:val="00424B85"/>
    <w:rsid w:val="004269DB"/>
    <w:rsid w:val="0042746D"/>
    <w:rsid w:val="00427621"/>
    <w:rsid w:val="00435AAA"/>
    <w:rsid w:val="00435E7F"/>
    <w:rsid w:val="0043621D"/>
    <w:rsid w:val="00436612"/>
    <w:rsid w:val="00436C6A"/>
    <w:rsid w:val="004379EF"/>
    <w:rsid w:val="00446570"/>
    <w:rsid w:val="00450085"/>
    <w:rsid w:val="00453828"/>
    <w:rsid w:val="00454BDB"/>
    <w:rsid w:val="0045714C"/>
    <w:rsid w:val="004618A7"/>
    <w:rsid w:val="00461BB9"/>
    <w:rsid w:val="00462F1E"/>
    <w:rsid w:val="00464E0D"/>
    <w:rsid w:val="004653D2"/>
    <w:rsid w:val="00472C83"/>
    <w:rsid w:val="0047330B"/>
    <w:rsid w:val="004769D2"/>
    <w:rsid w:val="00476E0B"/>
    <w:rsid w:val="00477924"/>
    <w:rsid w:val="00480915"/>
    <w:rsid w:val="00484E39"/>
    <w:rsid w:val="00486D5D"/>
    <w:rsid w:val="0048723F"/>
    <w:rsid w:val="0048724D"/>
    <w:rsid w:val="00487810"/>
    <w:rsid w:val="00490948"/>
    <w:rsid w:val="00490AD3"/>
    <w:rsid w:val="00491A16"/>
    <w:rsid w:val="00493688"/>
    <w:rsid w:val="004A0B58"/>
    <w:rsid w:val="004A33D4"/>
    <w:rsid w:val="004A533B"/>
    <w:rsid w:val="004A576D"/>
    <w:rsid w:val="004A63ED"/>
    <w:rsid w:val="004A7786"/>
    <w:rsid w:val="004B0DE3"/>
    <w:rsid w:val="004B147D"/>
    <w:rsid w:val="004B1619"/>
    <w:rsid w:val="004B3605"/>
    <w:rsid w:val="004B46EC"/>
    <w:rsid w:val="004B63D6"/>
    <w:rsid w:val="004B6D8D"/>
    <w:rsid w:val="004B7727"/>
    <w:rsid w:val="004C06D7"/>
    <w:rsid w:val="004C2B9F"/>
    <w:rsid w:val="004C4A14"/>
    <w:rsid w:val="004C6825"/>
    <w:rsid w:val="004D1F73"/>
    <w:rsid w:val="004D34F2"/>
    <w:rsid w:val="004D67C3"/>
    <w:rsid w:val="004D7637"/>
    <w:rsid w:val="004E1E1E"/>
    <w:rsid w:val="004E3310"/>
    <w:rsid w:val="004E44F6"/>
    <w:rsid w:val="004E4BB6"/>
    <w:rsid w:val="004E50B9"/>
    <w:rsid w:val="004E76DF"/>
    <w:rsid w:val="004F1BB5"/>
    <w:rsid w:val="004F4EC4"/>
    <w:rsid w:val="00501325"/>
    <w:rsid w:val="00501D59"/>
    <w:rsid w:val="005053D3"/>
    <w:rsid w:val="00510F3B"/>
    <w:rsid w:val="005115FE"/>
    <w:rsid w:val="005129AD"/>
    <w:rsid w:val="00514AB3"/>
    <w:rsid w:val="005173AF"/>
    <w:rsid w:val="00524569"/>
    <w:rsid w:val="00525D8A"/>
    <w:rsid w:val="00530073"/>
    <w:rsid w:val="00535825"/>
    <w:rsid w:val="0054007F"/>
    <w:rsid w:val="00540D53"/>
    <w:rsid w:val="00541D5C"/>
    <w:rsid w:val="005457E6"/>
    <w:rsid w:val="00545DF4"/>
    <w:rsid w:val="00553AFD"/>
    <w:rsid w:val="00554887"/>
    <w:rsid w:val="005552D8"/>
    <w:rsid w:val="00556A25"/>
    <w:rsid w:val="00562CC0"/>
    <w:rsid w:val="005646B4"/>
    <w:rsid w:val="00571352"/>
    <w:rsid w:val="005763C4"/>
    <w:rsid w:val="00583C13"/>
    <w:rsid w:val="00586069"/>
    <w:rsid w:val="00586F81"/>
    <w:rsid w:val="00590362"/>
    <w:rsid w:val="005950B3"/>
    <w:rsid w:val="00597BE3"/>
    <w:rsid w:val="00597D70"/>
    <w:rsid w:val="005A3B1E"/>
    <w:rsid w:val="005A3FF8"/>
    <w:rsid w:val="005A4EB8"/>
    <w:rsid w:val="005B0010"/>
    <w:rsid w:val="005B4F3B"/>
    <w:rsid w:val="005B5969"/>
    <w:rsid w:val="005B73AD"/>
    <w:rsid w:val="005C0F6B"/>
    <w:rsid w:val="005C144E"/>
    <w:rsid w:val="005C1D8A"/>
    <w:rsid w:val="005C2DB9"/>
    <w:rsid w:val="005C50BA"/>
    <w:rsid w:val="005C6210"/>
    <w:rsid w:val="005C638B"/>
    <w:rsid w:val="005C68A9"/>
    <w:rsid w:val="005D1B72"/>
    <w:rsid w:val="005D369B"/>
    <w:rsid w:val="005D5E78"/>
    <w:rsid w:val="005F1A53"/>
    <w:rsid w:val="005F68BB"/>
    <w:rsid w:val="0060086B"/>
    <w:rsid w:val="00603AA7"/>
    <w:rsid w:val="00606A0F"/>
    <w:rsid w:val="006101DA"/>
    <w:rsid w:val="0061098E"/>
    <w:rsid w:val="006109D4"/>
    <w:rsid w:val="00610C4D"/>
    <w:rsid w:val="00611CC4"/>
    <w:rsid w:val="00613B0A"/>
    <w:rsid w:val="00623111"/>
    <w:rsid w:val="006246B1"/>
    <w:rsid w:val="00630EEC"/>
    <w:rsid w:val="00631324"/>
    <w:rsid w:val="00631AB5"/>
    <w:rsid w:val="006329E4"/>
    <w:rsid w:val="00633EC2"/>
    <w:rsid w:val="00634994"/>
    <w:rsid w:val="00634B63"/>
    <w:rsid w:val="0064266D"/>
    <w:rsid w:val="0064690C"/>
    <w:rsid w:val="00647E88"/>
    <w:rsid w:val="00654C5F"/>
    <w:rsid w:val="00656933"/>
    <w:rsid w:val="006625EE"/>
    <w:rsid w:val="00662FB8"/>
    <w:rsid w:val="0066512F"/>
    <w:rsid w:val="00665A0D"/>
    <w:rsid w:val="0067397A"/>
    <w:rsid w:val="0068115C"/>
    <w:rsid w:val="00685F8F"/>
    <w:rsid w:val="00686EE1"/>
    <w:rsid w:val="00691345"/>
    <w:rsid w:val="00692FC4"/>
    <w:rsid w:val="0069521D"/>
    <w:rsid w:val="00696372"/>
    <w:rsid w:val="006978DA"/>
    <w:rsid w:val="006A174B"/>
    <w:rsid w:val="006A3BD8"/>
    <w:rsid w:val="006A4BAB"/>
    <w:rsid w:val="006B0386"/>
    <w:rsid w:val="006B15A3"/>
    <w:rsid w:val="006B67D4"/>
    <w:rsid w:val="006C1C26"/>
    <w:rsid w:val="006C201C"/>
    <w:rsid w:val="006C3D02"/>
    <w:rsid w:val="006C52D8"/>
    <w:rsid w:val="006C6875"/>
    <w:rsid w:val="006C74F7"/>
    <w:rsid w:val="006D2EDE"/>
    <w:rsid w:val="006D4AAD"/>
    <w:rsid w:val="006D50C5"/>
    <w:rsid w:val="006E0154"/>
    <w:rsid w:val="006E34ED"/>
    <w:rsid w:val="006F2387"/>
    <w:rsid w:val="00710229"/>
    <w:rsid w:val="00713176"/>
    <w:rsid w:val="0071333F"/>
    <w:rsid w:val="00713B31"/>
    <w:rsid w:val="00714C90"/>
    <w:rsid w:val="00720D06"/>
    <w:rsid w:val="00724940"/>
    <w:rsid w:val="007306DA"/>
    <w:rsid w:val="00730CB7"/>
    <w:rsid w:val="00732620"/>
    <w:rsid w:val="00732AD3"/>
    <w:rsid w:val="00733EF6"/>
    <w:rsid w:val="00734173"/>
    <w:rsid w:val="007347C5"/>
    <w:rsid w:val="0073798C"/>
    <w:rsid w:val="00742521"/>
    <w:rsid w:val="007442AB"/>
    <w:rsid w:val="00746676"/>
    <w:rsid w:val="00747CB1"/>
    <w:rsid w:val="00751F8C"/>
    <w:rsid w:val="0075282B"/>
    <w:rsid w:val="00752ECE"/>
    <w:rsid w:val="00753FBF"/>
    <w:rsid w:val="007543D5"/>
    <w:rsid w:val="00755F29"/>
    <w:rsid w:val="007623B0"/>
    <w:rsid w:val="0076365C"/>
    <w:rsid w:val="00765A3D"/>
    <w:rsid w:val="00771821"/>
    <w:rsid w:val="007740AD"/>
    <w:rsid w:val="00775E09"/>
    <w:rsid w:val="0077640C"/>
    <w:rsid w:val="00777BCC"/>
    <w:rsid w:val="0078007F"/>
    <w:rsid w:val="0078236C"/>
    <w:rsid w:val="00790A61"/>
    <w:rsid w:val="007944E5"/>
    <w:rsid w:val="0079667B"/>
    <w:rsid w:val="007979D6"/>
    <w:rsid w:val="007A0CCF"/>
    <w:rsid w:val="007A33C4"/>
    <w:rsid w:val="007B2CFA"/>
    <w:rsid w:val="007C3A0C"/>
    <w:rsid w:val="007C3F98"/>
    <w:rsid w:val="007C505D"/>
    <w:rsid w:val="007C76E7"/>
    <w:rsid w:val="007D44ED"/>
    <w:rsid w:val="007D7A07"/>
    <w:rsid w:val="007E6011"/>
    <w:rsid w:val="007E7564"/>
    <w:rsid w:val="007F65DA"/>
    <w:rsid w:val="007F7996"/>
    <w:rsid w:val="007F7E78"/>
    <w:rsid w:val="008023F5"/>
    <w:rsid w:val="00803D82"/>
    <w:rsid w:val="00810F92"/>
    <w:rsid w:val="00813E89"/>
    <w:rsid w:val="0081519E"/>
    <w:rsid w:val="00815EED"/>
    <w:rsid w:val="00817C39"/>
    <w:rsid w:val="00822F8C"/>
    <w:rsid w:val="008236D9"/>
    <w:rsid w:val="008236F3"/>
    <w:rsid w:val="0082565B"/>
    <w:rsid w:val="00826B84"/>
    <w:rsid w:val="00827347"/>
    <w:rsid w:val="00833EF3"/>
    <w:rsid w:val="008408C4"/>
    <w:rsid w:val="00843500"/>
    <w:rsid w:val="00851BED"/>
    <w:rsid w:val="00856842"/>
    <w:rsid w:val="0086061F"/>
    <w:rsid w:val="00863EA8"/>
    <w:rsid w:val="0086641F"/>
    <w:rsid w:val="00870C40"/>
    <w:rsid w:val="00873DB3"/>
    <w:rsid w:val="00876355"/>
    <w:rsid w:val="0088158A"/>
    <w:rsid w:val="00881680"/>
    <w:rsid w:val="00885294"/>
    <w:rsid w:val="008852CA"/>
    <w:rsid w:val="008865C0"/>
    <w:rsid w:val="00887507"/>
    <w:rsid w:val="00890707"/>
    <w:rsid w:val="00897B8E"/>
    <w:rsid w:val="008A590C"/>
    <w:rsid w:val="008A67FC"/>
    <w:rsid w:val="008B5837"/>
    <w:rsid w:val="008B74D4"/>
    <w:rsid w:val="008C3A00"/>
    <w:rsid w:val="008C3CF3"/>
    <w:rsid w:val="008C7515"/>
    <w:rsid w:val="008C7FC4"/>
    <w:rsid w:val="008D17ED"/>
    <w:rsid w:val="008D260E"/>
    <w:rsid w:val="008D3554"/>
    <w:rsid w:val="008D441F"/>
    <w:rsid w:val="008D60C8"/>
    <w:rsid w:val="008D7BD2"/>
    <w:rsid w:val="008E316F"/>
    <w:rsid w:val="008E388B"/>
    <w:rsid w:val="008E493D"/>
    <w:rsid w:val="008E618C"/>
    <w:rsid w:val="00903C50"/>
    <w:rsid w:val="00903FF9"/>
    <w:rsid w:val="00905605"/>
    <w:rsid w:val="00906527"/>
    <w:rsid w:val="00906E07"/>
    <w:rsid w:val="0091164D"/>
    <w:rsid w:val="00924457"/>
    <w:rsid w:val="009246D7"/>
    <w:rsid w:val="00925490"/>
    <w:rsid w:val="00926784"/>
    <w:rsid w:val="009301BD"/>
    <w:rsid w:val="00933377"/>
    <w:rsid w:val="00942B09"/>
    <w:rsid w:val="00943D83"/>
    <w:rsid w:val="009445A4"/>
    <w:rsid w:val="0094460D"/>
    <w:rsid w:val="00944799"/>
    <w:rsid w:val="00947E8D"/>
    <w:rsid w:val="0095156F"/>
    <w:rsid w:val="00951C6B"/>
    <w:rsid w:val="00952AA4"/>
    <w:rsid w:val="009537BA"/>
    <w:rsid w:val="00954AAD"/>
    <w:rsid w:val="00955A51"/>
    <w:rsid w:val="00955CBD"/>
    <w:rsid w:val="009626EB"/>
    <w:rsid w:val="009638D3"/>
    <w:rsid w:val="00965210"/>
    <w:rsid w:val="00967A66"/>
    <w:rsid w:val="0097040B"/>
    <w:rsid w:val="00973906"/>
    <w:rsid w:val="0097423F"/>
    <w:rsid w:val="00974548"/>
    <w:rsid w:val="0098138E"/>
    <w:rsid w:val="00984C0C"/>
    <w:rsid w:val="00985882"/>
    <w:rsid w:val="009912FB"/>
    <w:rsid w:val="009A1D34"/>
    <w:rsid w:val="009A701D"/>
    <w:rsid w:val="009B4D68"/>
    <w:rsid w:val="009B6DE1"/>
    <w:rsid w:val="009B7426"/>
    <w:rsid w:val="009B7E26"/>
    <w:rsid w:val="009C2750"/>
    <w:rsid w:val="009C7A8E"/>
    <w:rsid w:val="009D223B"/>
    <w:rsid w:val="009D5DEA"/>
    <w:rsid w:val="009E3021"/>
    <w:rsid w:val="009E5435"/>
    <w:rsid w:val="009F52B0"/>
    <w:rsid w:val="009F5BDD"/>
    <w:rsid w:val="00A020C4"/>
    <w:rsid w:val="00A02910"/>
    <w:rsid w:val="00A06F98"/>
    <w:rsid w:val="00A07C90"/>
    <w:rsid w:val="00A174FE"/>
    <w:rsid w:val="00A17C6C"/>
    <w:rsid w:val="00A21097"/>
    <w:rsid w:val="00A2143B"/>
    <w:rsid w:val="00A23EAE"/>
    <w:rsid w:val="00A25BF2"/>
    <w:rsid w:val="00A314BF"/>
    <w:rsid w:val="00A32D89"/>
    <w:rsid w:val="00A45025"/>
    <w:rsid w:val="00A50A8E"/>
    <w:rsid w:val="00A50E8F"/>
    <w:rsid w:val="00A5293B"/>
    <w:rsid w:val="00A54FDA"/>
    <w:rsid w:val="00A55901"/>
    <w:rsid w:val="00A563F0"/>
    <w:rsid w:val="00A62029"/>
    <w:rsid w:val="00A64F9C"/>
    <w:rsid w:val="00A8004D"/>
    <w:rsid w:val="00A819CA"/>
    <w:rsid w:val="00A81E7D"/>
    <w:rsid w:val="00A836E9"/>
    <w:rsid w:val="00A84CF5"/>
    <w:rsid w:val="00A873F4"/>
    <w:rsid w:val="00A91EDD"/>
    <w:rsid w:val="00A9325F"/>
    <w:rsid w:val="00A93842"/>
    <w:rsid w:val="00A93BA4"/>
    <w:rsid w:val="00AA08C4"/>
    <w:rsid w:val="00AA2963"/>
    <w:rsid w:val="00AA2BAE"/>
    <w:rsid w:val="00AA32D8"/>
    <w:rsid w:val="00AB0378"/>
    <w:rsid w:val="00AB0AF6"/>
    <w:rsid w:val="00AB2489"/>
    <w:rsid w:val="00AB7A7C"/>
    <w:rsid w:val="00AC144F"/>
    <w:rsid w:val="00AD052B"/>
    <w:rsid w:val="00AD0FB6"/>
    <w:rsid w:val="00AD46DA"/>
    <w:rsid w:val="00AD5E91"/>
    <w:rsid w:val="00AD66CC"/>
    <w:rsid w:val="00AE2222"/>
    <w:rsid w:val="00AE42CA"/>
    <w:rsid w:val="00AE42FC"/>
    <w:rsid w:val="00AE7886"/>
    <w:rsid w:val="00AF08BE"/>
    <w:rsid w:val="00AF0E56"/>
    <w:rsid w:val="00AF35C9"/>
    <w:rsid w:val="00AF380E"/>
    <w:rsid w:val="00B03C17"/>
    <w:rsid w:val="00B03E0C"/>
    <w:rsid w:val="00B04B7B"/>
    <w:rsid w:val="00B11F21"/>
    <w:rsid w:val="00B209AA"/>
    <w:rsid w:val="00B244A8"/>
    <w:rsid w:val="00B25C06"/>
    <w:rsid w:val="00B30D86"/>
    <w:rsid w:val="00B30D9B"/>
    <w:rsid w:val="00B314EF"/>
    <w:rsid w:val="00B34841"/>
    <w:rsid w:val="00B41EBD"/>
    <w:rsid w:val="00B44A42"/>
    <w:rsid w:val="00B51DAA"/>
    <w:rsid w:val="00B55A5D"/>
    <w:rsid w:val="00B55EEF"/>
    <w:rsid w:val="00B56EFC"/>
    <w:rsid w:val="00B61C08"/>
    <w:rsid w:val="00B65AD4"/>
    <w:rsid w:val="00B70FDB"/>
    <w:rsid w:val="00B7386F"/>
    <w:rsid w:val="00B74424"/>
    <w:rsid w:val="00B7773C"/>
    <w:rsid w:val="00B837C0"/>
    <w:rsid w:val="00B8452A"/>
    <w:rsid w:val="00B94162"/>
    <w:rsid w:val="00BA13CF"/>
    <w:rsid w:val="00BA2692"/>
    <w:rsid w:val="00BA3E2E"/>
    <w:rsid w:val="00BA413A"/>
    <w:rsid w:val="00BA42ED"/>
    <w:rsid w:val="00BA431F"/>
    <w:rsid w:val="00BA73F1"/>
    <w:rsid w:val="00BB1980"/>
    <w:rsid w:val="00BB2A5C"/>
    <w:rsid w:val="00BB3B19"/>
    <w:rsid w:val="00BB7B9A"/>
    <w:rsid w:val="00BB7E8D"/>
    <w:rsid w:val="00BC43DC"/>
    <w:rsid w:val="00BC4A39"/>
    <w:rsid w:val="00BC6F19"/>
    <w:rsid w:val="00BD01BC"/>
    <w:rsid w:val="00BD18C2"/>
    <w:rsid w:val="00BD3046"/>
    <w:rsid w:val="00BD4D2C"/>
    <w:rsid w:val="00BD7366"/>
    <w:rsid w:val="00BE4F8E"/>
    <w:rsid w:val="00BE5C1F"/>
    <w:rsid w:val="00BE62BD"/>
    <w:rsid w:val="00BF09BF"/>
    <w:rsid w:val="00BF3FD4"/>
    <w:rsid w:val="00BF468E"/>
    <w:rsid w:val="00BF4E35"/>
    <w:rsid w:val="00BF7EFE"/>
    <w:rsid w:val="00C001F7"/>
    <w:rsid w:val="00C00DCC"/>
    <w:rsid w:val="00C03E86"/>
    <w:rsid w:val="00C05630"/>
    <w:rsid w:val="00C07C19"/>
    <w:rsid w:val="00C1306E"/>
    <w:rsid w:val="00C135B8"/>
    <w:rsid w:val="00C13DD6"/>
    <w:rsid w:val="00C17008"/>
    <w:rsid w:val="00C2405B"/>
    <w:rsid w:val="00C319CC"/>
    <w:rsid w:val="00C33E8C"/>
    <w:rsid w:val="00C367EC"/>
    <w:rsid w:val="00C4302B"/>
    <w:rsid w:val="00C43AF3"/>
    <w:rsid w:val="00C45133"/>
    <w:rsid w:val="00C50DB6"/>
    <w:rsid w:val="00C604C1"/>
    <w:rsid w:val="00C611CC"/>
    <w:rsid w:val="00C642BD"/>
    <w:rsid w:val="00C65DF0"/>
    <w:rsid w:val="00C660C9"/>
    <w:rsid w:val="00C66B84"/>
    <w:rsid w:val="00C67012"/>
    <w:rsid w:val="00C67E96"/>
    <w:rsid w:val="00C712C2"/>
    <w:rsid w:val="00C71D00"/>
    <w:rsid w:val="00C74158"/>
    <w:rsid w:val="00C7571F"/>
    <w:rsid w:val="00C75996"/>
    <w:rsid w:val="00C76CFF"/>
    <w:rsid w:val="00C83C18"/>
    <w:rsid w:val="00C864D9"/>
    <w:rsid w:val="00C868BC"/>
    <w:rsid w:val="00C92970"/>
    <w:rsid w:val="00C95C47"/>
    <w:rsid w:val="00CA25A3"/>
    <w:rsid w:val="00CA333B"/>
    <w:rsid w:val="00CA6F66"/>
    <w:rsid w:val="00CB02BD"/>
    <w:rsid w:val="00CB529B"/>
    <w:rsid w:val="00CB6B7C"/>
    <w:rsid w:val="00CB6F11"/>
    <w:rsid w:val="00CC26D6"/>
    <w:rsid w:val="00CC5EE8"/>
    <w:rsid w:val="00CC7BFC"/>
    <w:rsid w:val="00CD6DBD"/>
    <w:rsid w:val="00CE5BF5"/>
    <w:rsid w:val="00CF027F"/>
    <w:rsid w:val="00CF0528"/>
    <w:rsid w:val="00CF118F"/>
    <w:rsid w:val="00CF1950"/>
    <w:rsid w:val="00CF5B6D"/>
    <w:rsid w:val="00CF7429"/>
    <w:rsid w:val="00CF7488"/>
    <w:rsid w:val="00CF7912"/>
    <w:rsid w:val="00D00C0C"/>
    <w:rsid w:val="00D03982"/>
    <w:rsid w:val="00D03B4D"/>
    <w:rsid w:val="00D07A3A"/>
    <w:rsid w:val="00D12357"/>
    <w:rsid w:val="00D12F27"/>
    <w:rsid w:val="00D14EDD"/>
    <w:rsid w:val="00D25C94"/>
    <w:rsid w:val="00D25D51"/>
    <w:rsid w:val="00D30886"/>
    <w:rsid w:val="00D316C7"/>
    <w:rsid w:val="00D31A99"/>
    <w:rsid w:val="00D31E78"/>
    <w:rsid w:val="00D32936"/>
    <w:rsid w:val="00D33BBB"/>
    <w:rsid w:val="00D3406E"/>
    <w:rsid w:val="00D35D69"/>
    <w:rsid w:val="00D362E7"/>
    <w:rsid w:val="00D45A07"/>
    <w:rsid w:val="00D51064"/>
    <w:rsid w:val="00D527F1"/>
    <w:rsid w:val="00D574DA"/>
    <w:rsid w:val="00D604DF"/>
    <w:rsid w:val="00D61305"/>
    <w:rsid w:val="00D70860"/>
    <w:rsid w:val="00D763EE"/>
    <w:rsid w:val="00D80349"/>
    <w:rsid w:val="00D818D2"/>
    <w:rsid w:val="00D85FB2"/>
    <w:rsid w:val="00D87B93"/>
    <w:rsid w:val="00D9049E"/>
    <w:rsid w:val="00D97CE0"/>
    <w:rsid w:val="00DA3002"/>
    <w:rsid w:val="00DA34D6"/>
    <w:rsid w:val="00DA4472"/>
    <w:rsid w:val="00DA7FED"/>
    <w:rsid w:val="00DB0E45"/>
    <w:rsid w:val="00DB374F"/>
    <w:rsid w:val="00DB3BF1"/>
    <w:rsid w:val="00DB58B5"/>
    <w:rsid w:val="00DC36B0"/>
    <w:rsid w:val="00DC57B6"/>
    <w:rsid w:val="00DC5B58"/>
    <w:rsid w:val="00DC6CD6"/>
    <w:rsid w:val="00DD015C"/>
    <w:rsid w:val="00DD10AF"/>
    <w:rsid w:val="00DD187F"/>
    <w:rsid w:val="00DD6078"/>
    <w:rsid w:val="00DE4EB4"/>
    <w:rsid w:val="00DF22AB"/>
    <w:rsid w:val="00DF5873"/>
    <w:rsid w:val="00E00B86"/>
    <w:rsid w:val="00E010AA"/>
    <w:rsid w:val="00E0312C"/>
    <w:rsid w:val="00E03DF8"/>
    <w:rsid w:val="00E05FA1"/>
    <w:rsid w:val="00E10758"/>
    <w:rsid w:val="00E17552"/>
    <w:rsid w:val="00E25546"/>
    <w:rsid w:val="00E30566"/>
    <w:rsid w:val="00E32D6C"/>
    <w:rsid w:val="00E36295"/>
    <w:rsid w:val="00E451D9"/>
    <w:rsid w:val="00E50C76"/>
    <w:rsid w:val="00E55685"/>
    <w:rsid w:val="00E5679A"/>
    <w:rsid w:val="00E64005"/>
    <w:rsid w:val="00E65EDE"/>
    <w:rsid w:val="00E71821"/>
    <w:rsid w:val="00E71C63"/>
    <w:rsid w:val="00E73868"/>
    <w:rsid w:val="00E74212"/>
    <w:rsid w:val="00E77DE5"/>
    <w:rsid w:val="00E803B9"/>
    <w:rsid w:val="00E808BE"/>
    <w:rsid w:val="00E82C90"/>
    <w:rsid w:val="00E8355C"/>
    <w:rsid w:val="00E90204"/>
    <w:rsid w:val="00E92824"/>
    <w:rsid w:val="00E95168"/>
    <w:rsid w:val="00EA0DAD"/>
    <w:rsid w:val="00EA2B6C"/>
    <w:rsid w:val="00EA69C3"/>
    <w:rsid w:val="00EA7F57"/>
    <w:rsid w:val="00EB0DFD"/>
    <w:rsid w:val="00EB1273"/>
    <w:rsid w:val="00EC01F9"/>
    <w:rsid w:val="00EC4F22"/>
    <w:rsid w:val="00EC57A3"/>
    <w:rsid w:val="00EC5C41"/>
    <w:rsid w:val="00EC5D73"/>
    <w:rsid w:val="00EC6D03"/>
    <w:rsid w:val="00ED1C95"/>
    <w:rsid w:val="00ED3868"/>
    <w:rsid w:val="00ED3ACF"/>
    <w:rsid w:val="00ED4E3A"/>
    <w:rsid w:val="00ED5120"/>
    <w:rsid w:val="00EE1DE4"/>
    <w:rsid w:val="00EE1E77"/>
    <w:rsid w:val="00EF1900"/>
    <w:rsid w:val="00EF52F4"/>
    <w:rsid w:val="00EF609D"/>
    <w:rsid w:val="00EF7B09"/>
    <w:rsid w:val="00F04DB2"/>
    <w:rsid w:val="00F07C7B"/>
    <w:rsid w:val="00F10019"/>
    <w:rsid w:val="00F12C4B"/>
    <w:rsid w:val="00F1621B"/>
    <w:rsid w:val="00F177C7"/>
    <w:rsid w:val="00F2317F"/>
    <w:rsid w:val="00F254F7"/>
    <w:rsid w:val="00F2734C"/>
    <w:rsid w:val="00F3009F"/>
    <w:rsid w:val="00F31A9E"/>
    <w:rsid w:val="00F37E78"/>
    <w:rsid w:val="00F40562"/>
    <w:rsid w:val="00F412BD"/>
    <w:rsid w:val="00F43CDA"/>
    <w:rsid w:val="00F50F4B"/>
    <w:rsid w:val="00F530AF"/>
    <w:rsid w:val="00F54BC8"/>
    <w:rsid w:val="00F5633F"/>
    <w:rsid w:val="00F565AE"/>
    <w:rsid w:val="00F567A2"/>
    <w:rsid w:val="00F606DF"/>
    <w:rsid w:val="00F71D1C"/>
    <w:rsid w:val="00F732FC"/>
    <w:rsid w:val="00F74195"/>
    <w:rsid w:val="00F743FF"/>
    <w:rsid w:val="00F76B24"/>
    <w:rsid w:val="00F77B9A"/>
    <w:rsid w:val="00F81F93"/>
    <w:rsid w:val="00F844D8"/>
    <w:rsid w:val="00F8523D"/>
    <w:rsid w:val="00F877A7"/>
    <w:rsid w:val="00F901F0"/>
    <w:rsid w:val="00F91B7C"/>
    <w:rsid w:val="00F96511"/>
    <w:rsid w:val="00F973C4"/>
    <w:rsid w:val="00F979D6"/>
    <w:rsid w:val="00FA0105"/>
    <w:rsid w:val="00FA059D"/>
    <w:rsid w:val="00FA2543"/>
    <w:rsid w:val="00FB633C"/>
    <w:rsid w:val="00FC1511"/>
    <w:rsid w:val="00FC44B1"/>
    <w:rsid w:val="00FC4D3B"/>
    <w:rsid w:val="00FC7B10"/>
    <w:rsid w:val="00FD274B"/>
    <w:rsid w:val="00FD5121"/>
    <w:rsid w:val="00FD6530"/>
    <w:rsid w:val="00FD742A"/>
    <w:rsid w:val="00FD7896"/>
    <w:rsid w:val="00FE0A86"/>
    <w:rsid w:val="00FE3290"/>
    <w:rsid w:val="00FF1B1E"/>
    <w:rsid w:val="00FF41BD"/>
    <w:rsid w:val="00FF7AE3"/>
    <w:rsid w:val="00FF7FD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859F7"/>
  <w15:chartTrackingRefBased/>
  <w15:docId w15:val="{98BEFB1D-D6CF-4420-AF47-065D2770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semiHidden/>
    <w:unhideWhenUsed/>
    <w:qFormat/>
    <w:rsid w:val="00CA25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3D722D"/>
    <w:pPr>
      <w:keepNext/>
      <w:keepLines/>
      <w:spacing w:before="40" w:after="0"/>
      <w:outlineLvl w:val="2"/>
    </w:pPr>
    <w:rPr>
      <w:rFonts w:ascii="Calibri Light" w:eastAsia="Times New Roman" w:hAnsi="Calibri Light" w:cs="Times New Roman"/>
      <w:color w:val="1F4D78"/>
      <w:sz w:val="24"/>
      <w:szCs w:val="24"/>
    </w:rPr>
  </w:style>
  <w:style w:type="paragraph" w:styleId="Ttulo4">
    <w:name w:val="heading 4"/>
    <w:basedOn w:val="Normal"/>
    <w:next w:val="Normal"/>
    <w:link w:val="Ttulo4Car"/>
    <w:uiPriority w:val="9"/>
    <w:semiHidden/>
    <w:unhideWhenUsed/>
    <w:qFormat/>
    <w:rsid w:val="002934D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Chocolate normal titulo2,Párrafo de lista SUBCAPITULO"/>
    <w:basedOn w:val="Normal"/>
    <w:link w:val="PrrafodelistaCar"/>
    <w:uiPriority w:val="1"/>
    <w:qFormat/>
    <w:rsid w:val="006246B1"/>
    <w:pPr>
      <w:ind w:left="720"/>
      <w:contextualSpacing/>
    </w:pPr>
  </w:style>
  <w:style w:type="paragraph" w:styleId="Textonotapie">
    <w:name w:val="footnote text"/>
    <w:basedOn w:val="Normal"/>
    <w:link w:val="TextonotapieCar"/>
    <w:uiPriority w:val="99"/>
    <w:unhideWhenUsed/>
    <w:qFormat/>
    <w:rsid w:val="006246B1"/>
    <w:pPr>
      <w:spacing w:after="0" w:line="240" w:lineRule="auto"/>
    </w:pPr>
    <w:rPr>
      <w:sz w:val="20"/>
      <w:szCs w:val="20"/>
    </w:rPr>
  </w:style>
  <w:style w:type="character" w:customStyle="1" w:styleId="TextonotapieCar">
    <w:name w:val="Texto nota pie Car"/>
    <w:basedOn w:val="Fuentedeprrafopredeter"/>
    <w:link w:val="Textonotapie"/>
    <w:uiPriority w:val="99"/>
    <w:qFormat/>
    <w:rsid w:val="006246B1"/>
    <w:rPr>
      <w:sz w:val="20"/>
      <w:szCs w:val="20"/>
    </w:rPr>
  </w:style>
  <w:style w:type="character" w:styleId="Refdenotaalpie">
    <w:name w:val="footnote reference"/>
    <w:basedOn w:val="Fuentedeprrafopredeter"/>
    <w:uiPriority w:val="99"/>
    <w:semiHidden/>
    <w:unhideWhenUsed/>
    <w:qFormat/>
    <w:rsid w:val="006246B1"/>
    <w:rPr>
      <w:vertAlign w:val="superscript"/>
    </w:rPr>
  </w:style>
  <w:style w:type="paragraph" w:styleId="Encabezado">
    <w:name w:val="header"/>
    <w:basedOn w:val="Normal"/>
    <w:link w:val="EncabezadoCar"/>
    <w:uiPriority w:val="99"/>
    <w:unhideWhenUsed/>
    <w:rsid w:val="006246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246B1"/>
  </w:style>
  <w:style w:type="paragraph" w:styleId="Piedepgina">
    <w:name w:val="footer"/>
    <w:basedOn w:val="Normal"/>
    <w:link w:val="PiedepginaCar"/>
    <w:uiPriority w:val="99"/>
    <w:unhideWhenUsed/>
    <w:rsid w:val="006246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246B1"/>
  </w:style>
  <w:style w:type="table" w:styleId="Sombreadoclaro">
    <w:name w:val="Light Shading"/>
    <w:basedOn w:val="Tablanormal"/>
    <w:uiPriority w:val="60"/>
    <w:rsid w:val="00D0398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Descripcin">
    <w:name w:val="caption"/>
    <w:basedOn w:val="Normal"/>
    <w:next w:val="Normal"/>
    <w:uiPriority w:val="35"/>
    <w:unhideWhenUsed/>
    <w:qFormat/>
    <w:rsid w:val="00D03982"/>
    <w:pPr>
      <w:spacing w:after="200" w:line="240" w:lineRule="auto"/>
    </w:pPr>
    <w:rPr>
      <w:i/>
      <w:iCs/>
      <w:color w:val="44546A" w:themeColor="text2"/>
      <w:sz w:val="18"/>
      <w:szCs w:val="18"/>
    </w:rPr>
  </w:style>
  <w:style w:type="table" w:styleId="Tablaconcuadrcula">
    <w:name w:val="Table Grid"/>
    <w:basedOn w:val="Tablanormal"/>
    <w:uiPriority w:val="39"/>
    <w:rsid w:val="009F5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uiPriority w:val="43"/>
    <w:rsid w:val="00486D5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pervnculo">
    <w:name w:val="Hyperlink"/>
    <w:basedOn w:val="Fuentedeprrafopredeter"/>
    <w:uiPriority w:val="99"/>
    <w:unhideWhenUsed/>
    <w:rsid w:val="0023371E"/>
    <w:rPr>
      <w:color w:val="0563C1" w:themeColor="hyperlink"/>
      <w:u w:val="single"/>
    </w:rPr>
  </w:style>
  <w:style w:type="paragraph" w:styleId="Ttulo">
    <w:name w:val="Title"/>
    <w:basedOn w:val="Normal"/>
    <w:next w:val="Normal"/>
    <w:link w:val="TtuloCar"/>
    <w:uiPriority w:val="10"/>
    <w:qFormat/>
    <w:rsid w:val="0088750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7507"/>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07366B"/>
    <w:rPr>
      <w:color w:val="605E5C"/>
      <w:shd w:val="clear" w:color="auto" w:fill="E1DFDD"/>
    </w:rPr>
  </w:style>
  <w:style w:type="paragraph" w:styleId="Textodeglobo">
    <w:name w:val="Balloon Text"/>
    <w:basedOn w:val="Normal"/>
    <w:link w:val="TextodegloboCar"/>
    <w:uiPriority w:val="99"/>
    <w:semiHidden/>
    <w:unhideWhenUsed/>
    <w:rsid w:val="00D818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18D2"/>
    <w:rPr>
      <w:rFonts w:ascii="Segoe UI" w:hAnsi="Segoe UI" w:cs="Segoe UI"/>
      <w:sz w:val="18"/>
      <w:szCs w:val="18"/>
    </w:rPr>
  </w:style>
  <w:style w:type="paragraph" w:customStyle="1" w:styleId="Default">
    <w:name w:val="Default"/>
    <w:rsid w:val="0091164D"/>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s-EC"/>
    </w:rPr>
  </w:style>
  <w:style w:type="paragraph" w:styleId="HTMLconformatoprevio">
    <w:name w:val="HTML Preformatted"/>
    <w:basedOn w:val="Normal"/>
    <w:link w:val="HTMLconformatoprevioCar"/>
    <w:uiPriority w:val="99"/>
    <w:semiHidden/>
    <w:unhideWhenUsed/>
    <w:rsid w:val="001228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C"/>
    </w:rPr>
  </w:style>
  <w:style w:type="character" w:customStyle="1" w:styleId="HTMLconformatoprevioCar">
    <w:name w:val="HTML con formato previo Car"/>
    <w:basedOn w:val="Fuentedeprrafopredeter"/>
    <w:link w:val="HTMLconformatoprevio"/>
    <w:uiPriority w:val="99"/>
    <w:semiHidden/>
    <w:rsid w:val="001228AD"/>
    <w:rPr>
      <w:rFonts w:ascii="Courier New" w:eastAsia="Times New Roman" w:hAnsi="Courier New" w:cs="Courier New"/>
      <w:sz w:val="20"/>
      <w:szCs w:val="20"/>
      <w:lang w:eastAsia="es-EC"/>
    </w:rPr>
  </w:style>
  <w:style w:type="paragraph" w:styleId="Sinespaciado">
    <w:name w:val="No Spacing"/>
    <w:aliases w:val="espaciado sin,TITULOS,normal,Tablas"/>
    <w:link w:val="SinespaciadoCar"/>
    <w:uiPriority w:val="1"/>
    <w:qFormat/>
    <w:rsid w:val="00724940"/>
    <w:pPr>
      <w:spacing w:after="0" w:line="240" w:lineRule="auto"/>
    </w:pPr>
    <w:rPr>
      <w:rFonts w:ascii="Calibri" w:eastAsia="Calibri" w:hAnsi="Calibri" w:cs="Times New Roman"/>
    </w:rPr>
  </w:style>
  <w:style w:type="character" w:customStyle="1" w:styleId="fusion-dropcap">
    <w:name w:val="fusion-dropcap"/>
    <w:basedOn w:val="Fuentedeprrafopredeter"/>
    <w:rsid w:val="00724940"/>
  </w:style>
  <w:style w:type="character" w:customStyle="1" w:styleId="Ttulo3Car">
    <w:name w:val="Título 3 Car"/>
    <w:basedOn w:val="Fuentedeprrafopredeter"/>
    <w:link w:val="Ttulo3"/>
    <w:uiPriority w:val="9"/>
    <w:rsid w:val="003D722D"/>
    <w:rPr>
      <w:rFonts w:ascii="Calibri Light" w:eastAsia="Times New Roman" w:hAnsi="Calibri Light" w:cs="Times New Roman"/>
      <w:color w:val="1F4D78"/>
      <w:sz w:val="24"/>
      <w:szCs w:val="24"/>
    </w:rPr>
  </w:style>
  <w:style w:type="character" w:customStyle="1" w:styleId="surname">
    <w:name w:val="surname"/>
    <w:basedOn w:val="Fuentedeprrafopredeter"/>
    <w:rsid w:val="00B56EFC"/>
  </w:style>
  <w:style w:type="character" w:styleId="Textoennegrita">
    <w:name w:val="Strong"/>
    <w:uiPriority w:val="22"/>
    <w:qFormat/>
    <w:rsid w:val="00294C1C"/>
    <w:rPr>
      <w:b/>
      <w:bCs/>
    </w:rPr>
  </w:style>
  <w:style w:type="character" w:customStyle="1" w:styleId="dropdown">
    <w:name w:val="dropdown"/>
    <w:basedOn w:val="Fuentedeprrafopredeter"/>
    <w:rsid w:val="00294C1C"/>
  </w:style>
  <w:style w:type="paragraph" w:styleId="Bibliografa">
    <w:name w:val="Bibliography"/>
    <w:basedOn w:val="Normal"/>
    <w:next w:val="Normal"/>
    <w:uiPriority w:val="37"/>
    <w:unhideWhenUsed/>
    <w:rsid w:val="00C65DF0"/>
    <w:rPr>
      <w:lang w:val="es-VE"/>
    </w:rPr>
  </w:style>
  <w:style w:type="paragraph" w:customStyle="1" w:styleId="EndNoteBibliography">
    <w:name w:val="EndNote Bibliography"/>
    <w:basedOn w:val="Normal"/>
    <w:link w:val="EndNoteBibliographyCar"/>
    <w:rsid w:val="00323B43"/>
    <w:pPr>
      <w:spacing w:after="0" w:line="240" w:lineRule="auto"/>
    </w:pPr>
    <w:rPr>
      <w:rFonts w:ascii="Arial" w:eastAsia="Arial" w:hAnsi="Arial" w:cs="Arial"/>
      <w:noProof/>
      <w:lang w:eastAsia="es-EC"/>
    </w:rPr>
  </w:style>
  <w:style w:type="character" w:customStyle="1" w:styleId="EndNoteBibliographyCar">
    <w:name w:val="EndNote Bibliography Car"/>
    <w:basedOn w:val="Fuentedeprrafopredeter"/>
    <w:link w:val="EndNoteBibliography"/>
    <w:rsid w:val="00323B43"/>
    <w:rPr>
      <w:rFonts w:ascii="Arial" w:eastAsia="Arial" w:hAnsi="Arial" w:cs="Arial"/>
      <w:noProof/>
      <w:lang w:eastAsia="es-EC"/>
    </w:rPr>
  </w:style>
  <w:style w:type="paragraph" w:styleId="NormalWeb">
    <w:name w:val="Normal (Web)"/>
    <w:basedOn w:val="Normal"/>
    <w:uiPriority w:val="99"/>
    <w:unhideWhenUsed/>
    <w:qFormat/>
    <w:rsid w:val="00F37E78"/>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PrrafodelistaCar">
    <w:name w:val="Párrafo de lista Car"/>
    <w:aliases w:val="Chocolate normal titulo2 Car,Párrafo de lista SUBCAPITULO Car"/>
    <w:link w:val="Prrafodelista"/>
    <w:uiPriority w:val="34"/>
    <w:qFormat/>
    <w:rsid w:val="00F37E78"/>
  </w:style>
  <w:style w:type="paragraph" w:styleId="Textocomentario">
    <w:name w:val="annotation text"/>
    <w:basedOn w:val="Normal"/>
    <w:link w:val="TextocomentarioCar"/>
    <w:uiPriority w:val="99"/>
    <w:unhideWhenUsed/>
    <w:qFormat/>
    <w:rsid w:val="00686EE1"/>
    <w:pPr>
      <w:spacing w:after="200" w:line="276" w:lineRule="auto"/>
    </w:pPr>
    <w:rPr>
      <w:rFonts w:ascii="Calibri" w:eastAsia="Calibri" w:hAnsi="Calibri" w:cs="Times New Roman"/>
      <w:sz w:val="20"/>
      <w:szCs w:val="20"/>
      <w:lang w:eastAsia="x-none"/>
    </w:rPr>
  </w:style>
  <w:style w:type="character" w:customStyle="1" w:styleId="TextocomentarioCar">
    <w:name w:val="Texto comentario Car"/>
    <w:basedOn w:val="Fuentedeprrafopredeter"/>
    <w:link w:val="Textocomentario"/>
    <w:uiPriority w:val="99"/>
    <w:qFormat/>
    <w:rsid w:val="00686EE1"/>
    <w:rPr>
      <w:rFonts w:ascii="Calibri" w:eastAsia="Calibri" w:hAnsi="Calibri" w:cs="Times New Roman"/>
      <w:sz w:val="20"/>
      <w:szCs w:val="20"/>
      <w:lang w:eastAsia="x-none"/>
    </w:rPr>
  </w:style>
  <w:style w:type="character" w:customStyle="1" w:styleId="reference-text">
    <w:name w:val="reference-text"/>
    <w:basedOn w:val="Fuentedeprrafopredeter"/>
    <w:rsid w:val="00A819CA"/>
  </w:style>
  <w:style w:type="table" w:styleId="Tablaconcuadrcula1clara-nfasis6">
    <w:name w:val="Grid Table 1 Light Accent 6"/>
    <w:basedOn w:val="Tablanormal"/>
    <w:uiPriority w:val="46"/>
    <w:rsid w:val="00AD46D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nfasis">
    <w:name w:val="Emphasis"/>
    <w:basedOn w:val="Fuentedeprrafopredeter"/>
    <w:uiPriority w:val="20"/>
    <w:qFormat/>
    <w:rsid w:val="00AD46DA"/>
    <w:rPr>
      <w:i/>
      <w:iCs/>
    </w:rPr>
  </w:style>
  <w:style w:type="table" w:styleId="Tablaconcuadrcula1clara-nfasis5">
    <w:name w:val="Grid Table 1 Light Accent 5"/>
    <w:basedOn w:val="Tablanormal"/>
    <w:uiPriority w:val="46"/>
    <w:rsid w:val="0081519E"/>
    <w:pPr>
      <w:spacing w:after="0" w:line="240" w:lineRule="auto"/>
    </w:pPr>
    <w:rPr>
      <w:rFonts w:ascii="Times New Roman" w:hAnsi="Times New Roman"/>
      <w:sz w:val="24"/>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normal5">
    <w:name w:val="Plain Table 5"/>
    <w:basedOn w:val="Tablanormal"/>
    <w:uiPriority w:val="45"/>
    <w:rsid w:val="0081519E"/>
    <w:pPr>
      <w:spacing w:after="0" w:line="240" w:lineRule="auto"/>
    </w:pPr>
    <w:rPr>
      <w:rFonts w:ascii="Times New Roman" w:hAnsi="Times New Roman"/>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ubttulo">
    <w:name w:val="Subtitle"/>
    <w:aliases w:val="RESUMEN"/>
    <w:basedOn w:val="Normal"/>
    <w:next w:val="Normal"/>
    <w:link w:val="SubttuloCar"/>
    <w:uiPriority w:val="11"/>
    <w:qFormat/>
    <w:rsid w:val="005A3B1E"/>
    <w:pPr>
      <w:numPr>
        <w:ilvl w:val="1"/>
      </w:numPr>
      <w:spacing w:after="0" w:line="240" w:lineRule="auto"/>
      <w:ind w:firstLine="680"/>
      <w:jc w:val="both"/>
    </w:pPr>
    <w:rPr>
      <w:rFonts w:ascii="Arial" w:eastAsiaTheme="minorEastAsia" w:hAnsi="Arial"/>
      <w:spacing w:val="15"/>
      <w:sz w:val="24"/>
      <w:lang w:val="es-VE"/>
    </w:rPr>
  </w:style>
  <w:style w:type="character" w:customStyle="1" w:styleId="SubttuloCar">
    <w:name w:val="Subtítulo Car"/>
    <w:aliases w:val="RESUMEN Car"/>
    <w:basedOn w:val="Fuentedeprrafopredeter"/>
    <w:link w:val="Subttulo"/>
    <w:uiPriority w:val="11"/>
    <w:rsid w:val="005A3B1E"/>
    <w:rPr>
      <w:rFonts w:ascii="Arial" w:eastAsiaTheme="minorEastAsia" w:hAnsi="Arial"/>
      <w:spacing w:val="15"/>
      <w:sz w:val="24"/>
      <w:lang w:val="es-VE"/>
    </w:rPr>
  </w:style>
  <w:style w:type="character" w:customStyle="1" w:styleId="Ttulo2Car">
    <w:name w:val="Título 2 Car"/>
    <w:basedOn w:val="Fuentedeprrafopredeter"/>
    <w:link w:val="Ttulo2"/>
    <w:uiPriority w:val="9"/>
    <w:semiHidden/>
    <w:rsid w:val="00CA25A3"/>
    <w:rPr>
      <w:rFonts w:asciiTheme="majorHAnsi" w:eastAsiaTheme="majorEastAsia" w:hAnsiTheme="majorHAnsi" w:cstheme="majorBidi"/>
      <w:color w:val="2E74B5" w:themeColor="accent1" w:themeShade="BF"/>
      <w:sz w:val="26"/>
      <w:szCs w:val="26"/>
    </w:rPr>
  </w:style>
  <w:style w:type="paragraph" w:customStyle="1" w:styleId="notadetabla">
    <w:name w:val="nota de tabla"/>
    <w:basedOn w:val="Normal"/>
    <w:link w:val="notadetablaCar"/>
    <w:qFormat/>
    <w:rsid w:val="00B44A42"/>
    <w:pPr>
      <w:spacing w:after="0" w:line="240" w:lineRule="auto"/>
    </w:pPr>
    <w:rPr>
      <w:rFonts w:ascii="Times New Roman" w:hAnsi="Times New Roman"/>
      <w:color w:val="000000" w:themeColor="text1"/>
      <w:sz w:val="20"/>
    </w:rPr>
  </w:style>
  <w:style w:type="character" w:customStyle="1" w:styleId="notadetablaCar">
    <w:name w:val="nota de tabla Car"/>
    <w:basedOn w:val="Fuentedeprrafopredeter"/>
    <w:link w:val="notadetabla"/>
    <w:rsid w:val="00B44A42"/>
    <w:rPr>
      <w:rFonts w:ascii="Times New Roman" w:hAnsi="Times New Roman"/>
      <w:color w:val="000000" w:themeColor="text1"/>
      <w:sz w:val="20"/>
    </w:rPr>
  </w:style>
  <w:style w:type="character" w:customStyle="1" w:styleId="tlid-translation">
    <w:name w:val="tlid-translation"/>
    <w:basedOn w:val="Fuentedeprrafopredeter"/>
    <w:rsid w:val="002063BC"/>
  </w:style>
  <w:style w:type="character" w:customStyle="1" w:styleId="Ttulo4Car">
    <w:name w:val="Título 4 Car"/>
    <w:basedOn w:val="Fuentedeprrafopredeter"/>
    <w:link w:val="Ttulo4"/>
    <w:uiPriority w:val="9"/>
    <w:semiHidden/>
    <w:rsid w:val="002934DF"/>
    <w:rPr>
      <w:rFonts w:asciiTheme="majorHAnsi" w:eastAsiaTheme="majorEastAsia" w:hAnsiTheme="majorHAnsi" w:cstheme="majorBidi"/>
      <w:i/>
      <w:iCs/>
      <w:color w:val="2E74B5" w:themeColor="accent1" w:themeShade="BF"/>
    </w:rPr>
  </w:style>
  <w:style w:type="table" w:customStyle="1" w:styleId="TableGrid">
    <w:name w:val="TableGrid"/>
    <w:rsid w:val="00F565AE"/>
    <w:pPr>
      <w:spacing w:after="0" w:line="240" w:lineRule="auto"/>
    </w:pPr>
    <w:rPr>
      <w:rFonts w:eastAsiaTheme="minorEastAsia"/>
      <w:lang w:eastAsia="es-EC"/>
    </w:rPr>
    <w:tblPr>
      <w:tblCellMar>
        <w:top w:w="0" w:type="dxa"/>
        <w:left w:w="0" w:type="dxa"/>
        <w:bottom w:w="0" w:type="dxa"/>
        <w:right w:w="0" w:type="dxa"/>
      </w:tblCellMar>
    </w:tblPr>
  </w:style>
  <w:style w:type="table" w:styleId="Tablanormal2">
    <w:name w:val="Plain Table 2"/>
    <w:basedOn w:val="Tablanormal"/>
    <w:uiPriority w:val="42"/>
    <w:rsid w:val="007F65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B55EEF"/>
    <w:pPr>
      <w:widowControl w:val="0"/>
      <w:autoSpaceDE w:val="0"/>
      <w:autoSpaceDN w:val="0"/>
      <w:spacing w:after="0" w:line="210" w:lineRule="exact"/>
    </w:pPr>
    <w:rPr>
      <w:rFonts w:ascii="Times New Roman" w:eastAsia="Times New Roman" w:hAnsi="Times New Roman" w:cs="Times New Roman"/>
      <w:lang w:val="es-ES"/>
    </w:rPr>
  </w:style>
  <w:style w:type="table" w:customStyle="1" w:styleId="Estilo1TablaAPA">
    <w:name w:val="Estilo1 Tabla APA"/>
    <w:basedOn w:val="Tablanormal"/>
    <w:uiPriority w:val="99"/>
    <w:rsid w:val="002670F2"/>
    <w:pPr>
      <w:spacing w:after="0" w:line="360" w:lineRule="auto"/>
    </w:pPr>
    <w:rPr>
      <w:rFonts w:ascii="Times New Roman" w:hAnsi="Times New Roman"/>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lastRow">
      <w:tblPr/>
      <w:tcPr>
        <w:tcBorders>
          <w:top w:val="single" w:sz="4" w:space="0" w:color="auto"/>
        </w:tcBorders>
      </w:tcPr>
    </w:tblStylePr>
  </w:style>
  <w:style w:type="paragraph" w:customStyle="1" w:styleId="Estilo1APA7MAEDICION">
    <w:name w:val="Estilo1APA7MAEDICION"/>
    <w:basedOn w:val="Normal"/>
    <w:link w:val="Estilo1APA7MAEDICIONCar"/>
    <w:qFormat/>
    <w:rsid w:val="002670F2"/>
    <w:pPr>
      <w:spacing w:after="0" w:line="360" w:lineRule="auto"/>
      <w:ind w:firstLine="907"/>
      <w:jc w:val="both"/>
    </w:pPr>
    <w:rPr>
      <w:rFonts w:ascii="Arial" w:eastAsia="Times New Roman" w:hAnsi="Arial" w:cs="Arial"/>
      <w:sz w:val="24"/>
      <w:szCs w:val="24"/>
      <w:lang w:val="es-ES_tradnl" w:eastAsia="es-ES_tradnl"/>
    </w:rPr>
  </w:style>
  <w:style w:type="character" w:customStyle="1" w:styleId="Estilo1APA7MAEDICIONCar">
    <w:name w:val="Estilo1APA7MAEDICION Car"/>
    <w:basedOn w:val="Fuentedeprrafopredeter"/>
    <w:link w:val="Estilo1APA7MAEDICION"/>
    <w:rsid w:val="002670F2"/>
    <w:rPr>
      <w:rFonts w:ascii="Arial" w:eastAsia="Times New Roman" w:hAnsi="Arial" w:cs="Arial"/>
      <w:sz w:val="24"/>
      <w:szCs w:val="24"/>
      <w:lang w:val="es-ES_tradnl" w:eastAsia="es-ES_tradnl"/>
    </w:rPr>
  </w:style>
  <w:style w:type="paragraph" w:customStyle="1" w:styleId="EstiloTituloTabla">
    <w:name w:val="EstiloTituloTabla"/>
    <w:basedOn w:val="Descripcin"/>
    <w:link w:val="EstiloTituloTablaCar"/>
    <w:qFormat/>
    <w:rsid w:val="006329E4"/>
    <w:pPr>
      <w:keepNext/>
      <w:spacing w:after="0" w:line="480" w:lineRule="auto"/>
    </w:pPr>
    <w:rPr>
      <w:rFonts w:ascii="Times New Roman" w:hAnsi="Times New Roman" w:cs="Times New Roman"/>
      <w:color w:val="auto"/>
      <w:sz w:val="24"/>
      <w:szCs w:val="24"/>
    </w:rPr>
  </w:style>
  <w:style w:type="character" w:customStyle="1" w:styleId="EstiloTituloTablaCar">
    <w:name w:val="EstiloTituloTabla Car"/>
    <w:basedOn w:val="Fuentedeprrafopredeter"/>
    <w:link w:val="EstiloTituloTabla"/>
    <w:rsid w:val="006329E4"/>
    <w:rPr>
      <w:rFonts w:ascii="Times New Roman" w:hAnsi="Times New Roman" w:cs="Times New Roman"/>
      <w:i/>
      <w:iCs/>
      <w:sz w:val="24"/>
      <w:szCs w:val="24"/>
    </w:rPr>
  </w:style>
  <w:style w:type="table" w:customStyle="1" w:styleId="Tablanormal21">
    <w:name w:val="Tabla normal 21"/>
    <w:basedOn w:val="Tablanormal"/>
    <w:uiPriority w:val="42"/>
    <w:qFormat/>
    <w:rsid w:val="005173AF"/>
    <w:pPr>
      <w:spacing w:after="0" w:line="240" w:lineRule="auto"/>
    </w:pPr>
    <w:rPr>
      <w:rFonts w:ascii="Times New Roman" w:eastAsia="Times New Roman" w:hAnsi="Times New Roman" w:cs="Times New Roman"/>
      <w:sz w:val="20"/>
      <w:szCs w:val="20"/>
      <w:lang w:val="es-MX" w:eastAsia="es-MX"/>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6concolores">
    <w:name w:val="List Table 6 Colorful"/>
    <w:basedOn w:val="Tablanormal"/>
    <w:uiPriority w:val="51"/>
    <w:rsid w:val="00323A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inespaciadoCar">
    <w:name w:val="Sin espaciado Car"/>
    <w:aliases w:val="espaciado sin Car,TITULOS Car,normal Car,Tablas Car"/>
    <w:basedOn w:val="Fuentedeprrafopredeter"/>
    <w:link w:val="Sinespaciado"/>
    <w:uiPriority w:val="1"/>
    <w:locked/>
    <w:rsid w:val="0025731B"/>
    <w:rPr>
      <w:rFonts w:ascii="Calibri" w:eastAsia="Calibri" w:hAnsi="Calibri" w:cs="Times New Roman"/>
    </w:rPr>
  </w:style>
  <w:style w:type="paragraph" w:customStyle="1" w:styleId="SINESPACIO">
    <w:name w:val="SIN ESPACIO"/>
    <w:basedOn w:val="Normal"/>
    <w:next w:val="Normal"/>
    <w:link w:val="SINESPACIOCar"/>
    <w:qFormat/>
    <w:rsid w:val="00D14EDD"/>
    <w:pPr>
      <w:spacing w:after="0" w:line="480" w:lineRule="auto"/>
    </w:pPr>
    <w:rPr>
      <w:rFonts w:ascii="Times New Roman" w:eastAsia="Times New Roman" w:hAnsi="Times New Roman" w:cs="Times New Roman"/>
      <w:bCs/>
      <w:sz w:val="24"/>
      <w:szCs w:val="24"/>
      <w:lang w:val="es-ES_tradnl" w:eastAsia="es-ES_tradnl"/>
    </w:rPr>
  </w:style>
  <w:style w:type="character" w:customStyle="1" w:styleId="SINESPACIOCar">
    <w:name w:val="SIN ESPACIO Car"/>
    <w:basedOn w:val="Fuentedeprrafopredeter"/>
    <w:link w:val="SINESPACIO"/>
    <w:rsid w:val="00D14EDD"/>
    <w:rPr>
      <w:rFonts w:ascii="Times New Roman" w:eastAsia="Times New Roman" w:hAnsi="Times New Roman" w:cs="Times New Roman"/>
      <w:bCs/>
      <w:sz w:val="24"/>
      <w:szCs w:val="24"/>
      <w:lang w:val="es-ES_tradnl" w:eastAsia="es-ES_tradnl"/>
    </w:rPr>
  </w:style>
  <w:style w:type="table" w:customStyle="1" w:styleId="Tablaconcuadrcula1">
    <w:name w:val="Tabla con cuadrícula1"/>
    <w:basedOn w:val="Tablanormal"/>
    <w:next w:val="Tablaconcuadrcula"/>
    <w:uiPriority w:val="39"/>
    <w:rsid w:val="00732A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0414044">
      <w:bodyDiv w:val="1"/>
      <w:marLeft w:val="0"/>
      <w:marRight w:val="0"/>
      <w:marTop w:val="0"/>
      <w:marBottom w:val="0"/>
      <w:divBdr>
        <w:top w:val="none" w:sz="0" w:space="0" w:color="auto"/>
        <w:left w:val="none" w:sz="0" w:space="0" w:color="auto"/>
        <w:bottom w:val="none" w:sz="0" w:space="0" w:color="auto"/>
        <w:right w:val="none" w:sz="0" w:space="0" w:color="auto"/>
      </w:divBdr>
      <w:divsChild>
        <w:div w:id="1090849831">
          <w:marLeft w:val="0"/>
          <w:marRight w:val="0"/>
          <w:marTop w:val="0"/>
          <w:marBottom w:val="0"/>
          <w:divBdr>
            <w:top w:val="none" w:sz="0" w:space="0" w:color="auto"/>
            <w:left w:val="none" w:sz="0" w:space="0" w:color="auto"/>
            <w:bottom w:val="none" w:sz="0" w:space="0" w:color="auto"/>
            <w:right w:val="none" w:sz="0" w:space="0" w:color="auto"/>
          </w:divBdr>
        </w:div>
      </w:divsChild>
    </w:div>
    <w:div w:id="118714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6296/yc.v8i15.0509"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orcid.org/0000-0002-2082-381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ncy.carreno@utm.edu.e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rcid.org/0009-0008-6788-3465"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jduenas6692@utm.edu.ec" TargetMode="External"/><Relationship Id="rId14" Type="http://schemas.openxmlformats.org/officeDocument/2006/relationships/header" Target="head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2FD48E47DA140F4A300E9607EDC8FD5"/>
        <w:category>
          <w:name w:val="General"/>
          <w:gallery w:val="placeholder"/>
        </w:category>
        <w:types>
          <w:type w:val="bbPlcHdr"/>
        </w:types>
        <w:behaviors>
          <w:behavior w:val="content"/>
        </w:behaviors>
        <w:guid w:val="{1520F946-930D-4472-B581-AE4357E19353}"/>
      </w:docPartPr>
      <w:docPartBody>
        <w:p w:rsidR="00000000" w:rsidRDefault="004C044F" w:rsidP="004C044F">
          <w:pPr>
            <w:pStyle w:val="E2FD48E47DA140F4A300E9607EDC8FD5"/>
          </w:pPr>
          <w:r w:rsidRPr="00885566">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44F"/>
    <w:rsid w:val="0004179E"/>
    <w:rsid w:val="004C0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C044F"/>
    <w:rPr>
      <w:color w:val="808080"/>
    </w:rPr>
  </w:style>
  <w:style w:type="paragraph" w:customStyle="1" w:styleId="E2FD48E47DA140F4A300E9607EDC8FD5">
    <w:name w:val="E2FD48E47DA140F4A300E9607EDC8FD5"/>
    <w:rsid w:val="004C04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Pol16</b:Tag>
    <b:SourceType>Book</b:SourceType>
    <b:Guid>{8472C219-AD2F-449A-8249-89CF9BDFFA1D}</b:Guid>
    <b:Title>Plan Estratégico 2016-2020</b:Title>
    <b:Year>2016</b:Year>
    <b:Publisher>Dirección General de la Policía Nacional</b:Publisher>
    <b:URL>https://www.policianacional.gob.do/wp-content/uploads/2017/02/PLAN_ESTRATEGICO_2016-2020_enero_2017-1.pdf</b:URL>
    <b:Author>
      <b:Author>
        <b:NameList>
          <b:Person>
            <b:Last>Nacional</b:Last>
            <b:First>Policía</b:First>
          </b:Person>
        </b:NameList>
      </b:Author>
    </b:Author>
    <b:RefOrder>1</b:RefOrder>
  </b:Source>
  <b:Source>
    <b:Tag>Polsf</b:Tag>
    <b:SourceType>JournalArticle</b:SourceType>
    <b:Guid>{C2982126-6D54-4060-AFCB-5BDA96457EFE}</b:Guid>
    <b:Author>
      <b:Author>
        <b:Corporate>Policía Nacional del Ecuador</b:Corporate>
      </b:Author>
    </b:Author>
    <b:Title>Curso de ascenso de los señores Servidores Policiales Técnicos Operativos</b:Title>
    <b:Year>s/f</b:Year>
    <b:RefOrder>2</b:RefOrder>
  </b:Source>
  <b:Source>
    <b:Tag>LHi09</b:Tag>
    <b:SourceType>Book</b:SourceType>
    <b:Guid>{3D312BBE-2817-4775-B77E-E4DBD6247A34}</b:Guid>
    <b:Title>Adminstración Estratégica</b:Title>
    <b:Year>2009</b:Year>
    <b:City>Mexico</b:City>
    <b:Publisher>McGRAW-HILL</b:Publisher>
    <b:Author>
      <b:Author>
        <b:NameList>
          <b:Person>
            <b:Last>L. Hill</b:Last>
            <b:First>Charles W. </b:First>
          </b:Person>
          <b:Person>
            <b:Last>Jones</b:Last>
            <b:First>Gareth R. </b:First>
          </b:Person>
        </b:NameList>
      </b:Author>
    </b:Author>
    <b:Pages>491</b:Pages>
    <b:Edition>Octava edición</b:Edition>
    <b:DOI>978-970-10-7269-1</b:DOI>
    <b:RefOrder>7</b:RefOrder>
  </b:Source>
  <b:Source xmlns:b="http://schemas.openxmlformats.org/officeDocument/2006/bibliography">
    <b:Tag>Sch05</b:Tag>
    <b:SourceType>Book</b:SourceType>
    <b:Guid>{7444091A-329D-4806-954F-E5209027A213}</b:Guid>
    <b:LCID>es-EC</b:LCID>
    <b:Title>Administración de Operaciones. Conceptos y casos contemporáneos</b:Title>
    <b:Year>2005</b:Year>
    <b:City>MEXICO</b:City>
    <b:Publisher>McGRAW-HILL</b:Publisher>
    <b:Author>
      <b:Author>
        <b:NameList>
          <b:Person>
            <b:Last>Schroeder</b:Last>
            <b:Middle>G. </b:Middle>
            <b:First>Roger </b:First>
          </b:Person>
          <b:Person>
            <b:Last>Meyer Goldstein</b:Last>
            <b:First>Susan </b:First>
          </b:Person>
          <b:Person>
            <b:Last>Rungtusanatham</b:Last>
            <b:First>M. Johnny </b:First>
          </b:Person>
        </b:NameList>
      </b:Author>
    </b:Author>
    <b:Pages>736</b:Pages>
    <b:Edition>Quinta</b:Edition>
    <b:URL>www.elosopanda.com</b:URL>
    <b:RefOrder>8</b:RefOrder>
  </b:Source>
  <b:Source>
    <b:Tag>Dav03</b:Tag>
    <b:SourceType>Book</b:SourceType>
    <b:Guid>{AE5CFDEC-6398-4937-86BB-360F27CD9568}</b:Guid>
    <b:Title>Conceptos de Administración Estratégica</b:Title>
    <b:Year>2003</b:Year>
    <b:City>Mexico</b:City>
    <b:Publisher>PEARSON EDUCACIÓN</b:Publisher>
    <b:Author>
      <b:Author>
        <b:NameList>
          <b:Person>
            <b:Last>David</b:Last>
            <b:First>Fred </b:First>
          </b:Person>
        </b:NameList>
      </b:Author>
    </b:Author>
    <b:Pages>368</b:Pages>
    <b:URL>https://maliaoceano.files.wordpress.com/2017/03/libro-fred-david-9a-edicion-con-estrategica-fred-david.pdf</b:URL>
    <b:DOI>ISBN 970-26-0427-3</b:DOI>
    <b:RefOrder>1</b:RefOrder>
  </b:Source>
  <b:Source>
    <b:Tag>Ban07</b:Tag>
    <b:SourceType>Misc</b:SourceType>
    <b:Guid>{7BDA1D5B-3EDF-45EC-B06F-0F426B855E04}</b:Guid>
    <b:Title>DISEÑO DEL PLAN ESTRATÉGICO DE DESARROLLO  DE TURISMO SOSTENIBLE PARA ECUADOR  “PLANDETUR 2020”</b:Title>
    <b:Year>2007</b:Year>
    <b:Publisher>Cooperación Técnica nº ATN/FG-9903-EC</b:Publisher>
    <b:Author>
      <b:Author>
        <b:Corporate>PLANDETUR 2020</b:Corporate>
      </b:Author>
    </b:Author>
    <b:PublicationTitle>Banco Interamericano de Desarrollo</b:PublicationTitle>
    <b:URL>https://www.turismo.gob.ec/wp-content/uploads/2015/04/proyecto_plandetur_2011_2014VERSION2.pdf</b:URL>
    <b:LCID>es-EC</b:LCID>
    <b:RefOrder>9</b:RefOrder>
  </b:Source>
  <b:Source>
    <b:Tag>Con13</b:Tag>
    <b:SourceType>JournalArticle</b:SourceType>
    <b:Guid>{32DC7B50-D243-414A-8AF8-D1712C5684B6}</b:Guid>
    <b:Title>El concepto de estrategia como fundamento de la planeación estratégica</b:Title>
    <b:Year>2013</b:Year>
    <b:JournalName>Pensamiento y Gestión</b:JournalName>
    <b:Pages>30</b:Pages>
    <b:Author>
      <b:Author>
        <b:NameList>
          <b:Person>
            <b:Last>Contreras Sierra</b:Last>
            <b:First>Emigdio Rafael </b:First>
          </b:Person>
        </b:NameList>
      </b:Author>
    </b:Author>
    <b:URL>http://rcientificas.uninorte.edu.co/index.php/pensamiento/article/viewFile/6115/3518</b:URL>
    <b:DOI>ISSN 1657-6276</b:DOI>
    <b:RefOrder>10</b:RefOrder>
  </b:Source>
  <b:Source>
    <b:Tag>Cua11</b:Tag>
    <b:SourceType>JournalArticle</b:SourceType>
    <b:Guid>{6F434E54-D907-4CE8-B2F4-6717D72CBC1A}</b:Guid>
    <b:Title>El turismo: Un sector clave en la economía española</b:Title>
    <b:Year>2011</b:Year>
    <b:Pages>35</b:Pages>
    <b:Author>
      <b:Author>
        <b:NameList>
          <b:Person>
            <b:Last>Cuadrado Roura</b:Last>
            <b:First>Juan R. </b:First>
          </b:Person>
          <b:Person>
            <b:Last>López Morales</b:Last>
            <b:First>José María </b:First>
          </b:Person>
        </b:NameList>
      </b:Author>
    </b:Author>
    <b:RefOrder>11</b:RefOrder>
  </b:Source>
  <b:Source>
    <b:Tag>Cou11</b:Tag>
    <b:SourceType>Book</b:SourceType>
    <b:Guid>{0DF34936-071A-4CB2-8FFB-4E1C7C89CEA1}</b:Guid>
    <b:Title>Estadísticas y Econometría Financeiro</b:Title>
    <b:Year>2011</b:Year>
    <b:Pages>589</b:Pages>
    <b:City>Buenos Aires</b:City>
    <b:Publisher>Cengage Learning Argentina</b:Publisher>
    <b:Author>
      <b:Author>
        <b:NameList>
          <b:Person>
            <b:Last>Court Monteverde</b:Last>
            <b:First>Eduardo </b:First>
          </b:Person>
          <b:Person>
            <b:Last>Williams Rengifo</b:Last>
            <b:First>Erick </b:First>
          </b:Person>
        </b:NameList>
      </b:Author>
    </b:Author>
    <b:DOI>978-987-1486-86-1</b:DOI>
    <b:RefOrder>12</b:RefOrder>
  </b:Source>
  <b:Source>
    <b:Tag>Mog17</b:Tag>
    <b:SourceType>Misc</b:SourceType>
    <b:Guid>{5A1A5DBD-09EC-4D2F-8CA5-995BC81C4CA7}</b:Guid>
    <b:Title>Estudios Sectoriales: Alojamiento y Servicio de Comidas</b:Title>
    <b:Year>2017</b:Year>
    <b:Author>
      <b:Author>
        <b:NameList>
          <b:Person>
            <b:Last>Mogro</b:Last>
            <b:First>Segundo Camino </b:First>
          </b:Person>
          <b:Person>
            <b:Last>Guale Córdova</b:Last>
            <b:First>Allison </b:First>
          </b:Person>
        </b:NameList>
      </b:Author>
    </b:Author>
    <b:LCID>es-EC</b:LCID>
    <b:URL>http://portal.supercias.gob.ec/wps/wcm/connect/a0a93fff-5441-45aa-807a-8ff010875c4d/estudio+de+alojamiento+y+servicios+de+comida.pdf?MOD=AJPERES&amp;CACHEID=a0a93fff-5441-45aa-807a-8ff010875c4d</b:URL>
    <b:RefOrder>13</b:RefOrder>
  </b:Source>
  <b:Source>
    <b:Tag>Arr18</b:Tag>
    <b:SourceType>JournalArticle</b:SourceType>
    <b:Guid>{CD508A47-F249-4A3A-A85E-C1936E507D5D}</b:Guid>
    <b:Title>Importancia del turismo para el desarrollo local de la provincia Manabí</b:Title>
    <b:Year>2018</b:Year>
    <b:Author>
      <b:Author>
        <b:NameList>
          <b:Person>
            <b:Last>Arroyo Cobeña</b:Last>
            <b:First>María Verónica </b:First>
          </b:Person>
        </b:NameList>
      </b:Author>
    </b:Author>
    <b:Pages>5</b:Pages>
    <b:Volume>3</b:Volume>
    <b:URL>https://revistas.utm.edu.ec/index.php/Recus</b:URL>
    <b:DOI>2528-8075</b:DOI>
    <b:RefOrder>14</b:RefOrder>
  </b:Source>
  <b:Source>
    <b:Tag>Ber10</b:Tag>
    <b:SourceType>Book</b:SourceType>
    <b:Guid>{12EFB700-4984-4F02-95B7-D1C1BC8A8643}</b:Guid>
    <b:Title>Metodología de la investigación</b:Title>
    <b:Year>2010</b:Year>
    <b:Pages>320</b:Pages>
    <b:City>Colombia</b:City>
    <b:Publisher>PEARSON EDUCACIÓN</b:Publisher>
    <b:Author>
      <b:Author>
        <b:NameList>
          <b:Person>
            <b:Last>Bernal Torre</b:Last>
            <b:First>César Augusto </b:First>
          </b:Person>
        </b:NameList>
      </b:Author>
    </b:Author>
    <b:Edition>Tercera edición</b:Edition>
    <b:URL>www.FreeLibros.me</b:URL>
    <b:DOI>978-958-699-128-5</b:DOI>
    <b:RefOrder>15</b:RefOrder>
  </b:Source>
  <b:Source>
    <b:Tag>PLA17</b:Tag>
    <b:SourceType>Misc</b:SourceType>
    <b:Guid>{35C0E9C5-4F8A-4E40-93A1-A23D0E3C8A72}</b:Guid>
    <b:Title>PLAN ESTRATÉGICO DE DESARROLLO TURÍSTICO DEL CANTÓN PORTOVIEJO 2017 – 2022</b:Title>
    <b:Year>2017</b:Year>
    <b:Publisher>FIMCBOR – TURISMO 2017</b:Publisher>
    <b:Author>
      <b:Author>
        <b:Corporate>PLAN ESTRATÉGICO DE DESARROLLO TURÍSTICO DEL CANTÓN PORTOVIEJO 2017 – 2022</b:Corporate>
      </b:Author>
    </b:Author>
    <b:RefOrder>6</b:RefOrder>
  </b:Source>
  <b:Source>
    <b:Tag>Con08</b:Tag>
    <b:SourceType>Case</b:SourceType>
    <b:Guid>{EC4F0E36-3C5B-4E65-B06D-AD8271228C0C}</b:Guid>
    <b:Title>Constitución de la República del Ecuador</b:Title>
    <b:Year>2008</b:Year>
    <b:CaseNumber>Registro Oficial 449 de 20-oct.-2008</b:CaseNumber>
    <b:Author>
      <b:Author>
        <b:Corporate>Constitución de la República del Ecuador</b:Corporate>
      </b:Author>
    </b:Author>
    <b:URL>https://www.seps.gob.ec/documents/20181/25522/CONSTITUCION%20DE%20LA%20REPUBLICA%20DEL%20ECUADOR%20actualizada%20abril%202019.pdf/e228157e-9cd5-446e-bbdf-152cea50cbd9</b:URL>
    <b:RefOrder>16</b:RefOrder>
  </b:Source>
  <b:Source>
    <b:Tag>Por03</b:Tag>
    <b:SourceType>Book</b:SourceType>
    <b:Guid>{694C0D0C-E743-4F85-B106-377D28D53C56}</b:Guid>
    <b:Title>Ser competitivo</b:Title>
    <b:Year>2003</b:Year>
    <b:City>Barcelona</b:City>
    <b:Publisher>Ediciones Deusto</b:Publisher>
    <b:Author>
      <b:Author>
        <b:NameList>
          <b:Person>
            <b:Last>Porter</b:Last>
            <b:First>Michael</b:First>
          </b:Person>
        </b:NameList>
      </b:Author>
    </b:Author>
    <b:Pages>478</b:Pages>
    <b:DOI>84-234-2113-9</b:DOI>
    <b:RefOrder>4</b:RefOrder>
  </b:Source>
  <b:Source>
    <b:Tag>Ála18</b:Tag>
    <b:SourceType>Misc</b:SourceType>
    <b:Guid>{1E0A995B-76BA-4B8A-ADC4-F6EA917D0FDF}</b:Guid>
    <b:Title>El turismo en la reactivación económica de la provincia de Manabí</b:Title>
    <b:Year>2018</b:Year>
    <b:Pages>99</b:Pages>
    <b:PublicationTitle>Tesis</b:PublicationTitle>
    <b:Month>mayo</b:Month>
    <b:Day>07</b:Day>
    <b:City>Guayaquil</b:City>
    <b:Publisher>Universidad Católica Santiago de Guayaquil</b:Publisher>
    <b:Author>
      <b:Author>
        <b:NameList>
          <b:Person>
            <b:Last>Álava Macías</b:Last>
            <b:First>María</b:First>
            <b:Middle>Isabel</b:Middle>
          </b:Person>
        </b:NameList>
      </b:Author>
    </b:Author>
    <b:StateProvince>Guayas</b:StateProvince>
    <b:CountryRegion>Ecuador</b:CountryRegion>
    <b:RefOrder>17</b:RefOrder>
  </b:Source>
  <b:Source>
    <b:Tag>Ley08</b:Tag>
    <b:SourceType>DocumentFromInternetSite</b:SourceType>
    <b:Guid>{F43466B2-DB51-4608-886C-AE62EEE8C08C}</b:Guid>
    <b:Title>Ley de Turismo</b:Title>
    <b:CaseNumber>Registro Oficial Suplemento 733 de 27-dic-2002</b:CaseNumber>
    <b:Year>2008</b:Year>
    <b:Author>
      <b:Author>
        <b:Corporate>Ley de Turismo</b:Corporate>
      </b:Author>
    </b:Author>
    <b:URL>Registro Oficial Suplemento 733 de 27-dic-2002</b:URL>
    <b:Month>mayo</b:Month>
    <b:Day>06</b:Day>
    <b:InternetSiteTitle>https://www.asambleanacional.gob.ec/es</b:InternetSiteTitle>
    <b:RefOrder>18</b:RefOrder>
  </b:Source>
  <b:Source>
    <b:Tag>Reg16</b:Tag>
    <b:SourceType>DocumentFromInternetSite</b:SourceType>
    <b:Guid>{2A41BE16-585F-4BEA-9C7E-E3B1A4897614}</b:Guid>
    <b:Title>Reglamento de Alojamiento Turístico</b:Title>
    <b:CaseNumber>Registro Oficial Suplemento 465 de 24-mar.-2015</b:CaseNumber>
    <b:Year>2016</b:Year>
    <b:Author>
      <b:Author>
        <b:Corporate>Reglamento de Alojamiento Turístico</b:Corporate>
      </b:Author>
    </b:Author>
    <b:URL>Registro Oficial Suplemento 465 de 24-mar.-2015</b:URL>
    <b:Month>febrero</b:Month>
    <b:Day>18</b:Day>
    <b:InternetSiteTitle>https://www.asambleanacional.gob.ec/es</b:InternetSiteTitle>
    <b:RefOrder>19</b:RefOrder>
  </b:Source>
  <b:Source>
    <b:Tag>Con14</b:Tag>
    <b:SourceType>JournalArticle</b:SourceType>
    <b:Guid>{682BE7D9-4EDD-4A03-8658-994997025C76}</b:Guid>
    <b:Author>
      <b:Author>
        <b:Corporate>Consejo Parroquial de Gobierno </b:Corporate>
      </b:Author>
    </b:Author>
    <b:Title>LAN ESTRATÉGICO DE DESARROLLO TURÍSTICO2010-2014 PARROQUIA CRUCITA DEL CANTÓN PORTOVIEJO, PROVINCIA DE MANABÍ.</b:Title>
    <b:Year>2010-2014</b:Year>
    <b:RefOrder>20</b:RefOrder>
  </b:Source>
  <b:Source>
    <b:Tag>eco</b:Tag>
    <b:SourceType>InternetSite</b:SourceType>
    <b:Guid>{2583AF45-A1C1-47D2-B99C-5C7FA6B1F2F4}</b:Guid>
    <b:Title>CAPÍTULO II-MERCADEO Y COMERCIALIZACIÓN</b:Title>
    <b:Author>
      <b:Author>
        <b:Corporate>ecotec.edu.Ecudor</b:Corporate>
      </b:Author>
    </b:Author>
    <b:URL>https://www.ecotec.edu.ec/documentacion/investigaciones/estudiantes/trabajos_de_grado/544_2010_MKT_CEDE%C3%91OG_2.pdf</b:URL>
    <b:RefOrder>21</b:RefOrder>
  </b:Source>
  <b:Source>
    <b:Tag>Con10</b:Tag>
    <b:SourceType>Book</b:SourceType>
    <b:Guid>{AE525DFF-DC0F-4815-9242-ECF0B0B27982}</b:Guid>
    <b:Author>
      <b:Author>
        <b:Corporate>Consejo provincial de Portoviejo.</b:Corporate>
      </b:Author>
    </b:Author>
    <b:Title>Plan estratégico de desarrollo turístico de Crucita 2010-2014.</b:Title>
    <b:Year>2010</b:Year>
    <b:RefOrder>22</b:RefOrder>
  </b:Source>
  <b:Source>
    <b:Tag>Sis20</b:Tag>
    <b:SourceType>JournalArticle</b:SourceType>
    <b:Guid>{FFF9F066-1C4E-4380-A716-C7142B0C37D8}</b:Guid>
    <b:Title>Sistema de indicadores para la evaluación de la sostenibilidad económica del sector hotelero en la parroquia Crucita, Manabí, Ecuador</b:Title>
    <b:Year>2020</b:Year>
    <b:Pages>Pág. 3</b:Pages>
    <b:Volume>41 </b:Volume>
    <b:Issue>3</b:Issue>
    <b:Author>
      <b:Author>
        <b:NameList>
          <b:Person>
            <b:Last>Márquez</b:Last>
            <b:First>L</b:First>
          </b:Person>
          <b:Person>
            <b:Last>Cuétara</b:Last>
            <b:First>L</b:First>
          </b:Person>
          <b:Person>
            <b:Last>Bernándo </b:Last>
            <b:First>J</b:First>
          </b:Person>
          <b:Person>
            <b:Last>Vera </b:Last>
            <b:First>D</b:First>
          </b:Person>
        </b:NameList>
      </b:Author>
    </b:Author>
    <b:RefOrder>23</b:RefOrder>
  </b:Source>
  <b:Source>
    <b:Tag>MIN02</b:Tag>
    <b:SourceType>JournalArticle</b:SourceType>
    <b:Guid>{C899DEDF-0EF7-4BA4-9BAD-7F669B89183E}</b:Guid>
    <b:Author>
      <b:Author>
        <b:NameList>
          <b:Person>
            <b:Last>MINTUR</b:Last>
          </b:Person>
        </b:NameList>
      </b:Author>
    </b:Author>
    <b:Title>REGLAMENTO GENERAL DE ACTIVIDADES TURÍSTICAS,REGLAMENTO GENERAL DE ACTIVIDADES TURÍSTICAS(Decreto No. 340</b:Title>
    <b:Year>2002</b:Year>
    <b:URL>https://www.hotelesecuador.com.ec/downloads/Reglamento%20General%20de%20Actividades%20Turisticas.pdf</b:URL>
    <b:RefOrder>5</b:RefOrder>
  </b:Source>
  <b:Source>
    <b:Tag>Loo28</b:Tag>
    <b:SourceType>JournalArticle</b:SourceType>
    <b:Guid>{2AAA2107-6A72-4259-B164-1B9466323E2F}</b:Guid>
    <b:Title>La Actividad Turistica en el Ecuador: ¿Turismo Consciente o Turismo Tradicional?</b:Title>
    <b:Year>2018</b:Year>
    <b:JournalName>Revista ECA Sinergia. Facultad de Ciencias Administrativas y Económicas. U.T.M.vOL. 9. Núm.1</b:JournalName>
    <b:Author>
      <b:Author>
        <b:NameList>
          <b:Person>
            <b:Last>Loor</b:Last>
            <b:First>L</b:First>
          </b:Person>
          <b:Person>
            <b:Last>Alonso</b:Last>
            <b:First>A</b:First>
          </b:Person>
          <b:Person>
            <b:Last>Pérez</b:Last>
            <b:First>M</b:First>
          </b:Person>
        </b:NameList>
      </b:Author>
    </b:Author>
    <b:RefOrder>2</b:RefOrder>
  </b:Source>
  <b:Source>
    <b:Tag>Bil13</b:Tag>
    <b:SourceType>JournalArticle</b:SourceType>
    <b:Guid>{E675AF1C-EFA9-4FBC-A7EE-C927B19021CC}</b:Guid>
    <b:Title>Política de Empresa y Estrategia</b:Title>
    <b:JournalName>Editorial Universitas, 3ªEd.</b:JournalName>
    <b:Year>2013</b:Year>
    <b:Author>
      <b:Author>
        <b:NameList>
          <b:Person>
            <b:Last>Bilbao</b:Last>
            <b:First>P</b:First>
          </b:Person>
        </b:NameList>
      </b:Author>
    </b:Author>
    <b:RefOrder>3</b:RefOrder>
  </b:Source>
  <b:Source>
    <b:Tag>Man19</b:Tag>
    <b:SourceType>Book</b:SourceType>
    <b:Guid>{2DE294E3-52C8-4763-8E3E-2F14ACC233EE}</b:Guid>
    <b:Author>
      <b:Author>
        <b:NameList>
          <b:Person>
            <b:Last>Mantilla</b:Last>
            <b:First>S</b:First>
          </b:Person>
        </b:NameList>
      </b:Author>
    </b:Author>
    <b:Title>Auditoría del control interno.</b:Title>
    <b:Year>2019</b:Year>
    <b:Publisher>Ecoe Ediciones</b:Publisher>
    <b:RefOrder>2</b:RefOrder>
  </b:Source>
  <b:Source>
    <b:Tag>Asa21</b:Tag>
    <b:SourceType>Misc</b:SourceType>
    <b:Guid>{1E788F00-D667-46BC-809F-838D41EA9C29}</b:Guid>
    <b:Author>
      <b:Author>
        <b:Corporate>Asamblea Nacional del Ecuador</b:Corporate>
      </b:Author>
    </b:Author>
    <b:Title>Ley Orgánica del Sistema Nacional de Contratación Pública</b:Title>
    <b:Year>2021</b:Year>
    <b:Publisher>Asamblea Nacional del Ecuador</b:Publisher>
    <b:Month>Febrero</b:Month>
    <b:Day>17</b:Day>
    <b:PublicationTitle>Registro Oficial Suplemento 395 de 04-ago.-2008</b:PublicationTitle>
    <b:City>Quito</b:City>
    <b:StateProvince>Pichincha</b:StateProvince>
    <b:CountryRegion>Ecuaodr</b:CountryRegion>
    <b:RefOrder>8</b:RefOrder>
  </b:Source>
</b:Sources>
</file>

<file path=customXml/itemProps1.xml><?xml version="1.0" encoding="utf-8"?>
<ds:datastoreItem xmlns:ds="http://schemas.openxmlformats.org/officeDocument/2006/customXml" ds:itemID="{F644FF23-2D8F-476D-B629-4E9A38A3C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9665</TotalTime>
  <Pages>1</Pages>
  <Words>5287</Words>
  <Characters>30140</Characters>
  <Application>Microsoft Office Word</Application>
  <DocSecurity>0</DocSecurity>
  <Lines>251</Lines>
  <Paragraphs>70</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Morales Paredes.</dc:creator>
  <cp:keywords/>
  <dc:description/>
  <cp:lastModifiedBy>ZAMBRANO PILAY ENRIQUE CRISTOBAL</cp:lastModifiedBy>
  <cp:revision>311</cp:revision>
  <cp:lastPrinted>2024-11-22T15:10:00Z</cp:lastPrinted>
  <dcterms:created xsi:type="dcterms:W3CDTF">2020-02-23T20:03:00Z</dcterms:created>
  <dcterms:modified xsi:type="dcterms:W3CDTF">2024-11-22T15:10:00Z</dcterms:modified>
</cp:coreProperties>
</file>